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2694"/>
        <w:gridCol w:w="2409"/>
      </w:tblGrid>
      <w:tr w:rsidR="008974C8" w14:paraId="4F863666" w14:textId="77777777" w:rsidTr="00501957">
        <w:trPr>
          <w:tblHeader w:val="true"/>
        </w:trPr>
        <w:tc>
          <w:tcPr>
            <w:tcW w:w="2721" w:type="dxa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 w14:paraId="55DDD9B2" w14:textId="7DB5CA1C" w:rsidR="008974C8" w:rsidRDefault="008974C8" w:rsidP="00747E4E">
            <w:pPr>
              <w:spacing w:line="276" w:lineRule="auto" w:before="0" w:after="0"/>
              <w:jc w:val="center"/>
              <w:rPr>
                <w:rFonts w:ascii="Times New Roman" w:hAnsi="Times New Roman" w:cs="Times New Roman"/>
              </w:rPr>
            </w:pPr>
            <w:bookmarkStart w:id="0" w:name="_Hlk197597346"/>
            <w:bookmarkStart w:id="1" w:name="_Hlk197597104"/>
            <w:bookmarkStart w:id="2" w:name="_Hlk197597166"/>
            <w:r>
              <w:rPr>
                <w:rFonts w:ascii="Arial" w:hAnsi="Arial" w:cs="Times New Roman"/>
                <w:b/>
                <w:sz w:val="17"/>
              </w:rPr>
              <w:t xml:space="preserve">İyileştirilecek Durum* </w:t>
            </w:r>
          </w:p>
        </w:tc>
        <w:tc>
          <w:tcPr>
            <w:tcW w:w="2438" w:type="dxa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 w14:paraId="3AF571FB" w14:textId="46B34092" w:rsidR="008974C8" w:rsidRDefault="008974C8" w:rsidP="00747E4E">
            <w:pPr>
              <w:spacing w:line="276" w:lineRule="auto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Times New Roman"/>
                <w:b/>
                <w:sz w:val="17"/>
              </w:rPr>
              <w:t>Planlanan Eylemler</w:t>
            </w:r>
          </w:p>
        </w:tc>
        <w:tc>
          <w:tcPr>
            <w:tcW w:w="2324" w:type="dxa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 w14:paraId="75228EBC" w14:textId="0BBA4CEF" w:rsidR="008974C8" w:rsidRDefault="008974C8" w:rsidP="00747E4E">
            <w:pPr>
              <w:spacing w:line="276" w:lineRule="auto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Times New Roman"/>
                <w:b/>
                <w:sz w:val="17"/>
              </w:rPr>
              <w:t xml:space="preserve">Eylem Uygulama Tarih Aralığı </w:t>
            </w:r>
          </w:p>
        </w:tc>
        <w:tc>
          <w:tcPr>
            <w:tcW w:w="2835" w:type="dxa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 w14:paraId="07942C96" w14:textId="2C3F25D5" w:rsidR="008974C8" w:rsidRDefault="008974C8" w:rsidP="00747E4E">
            <w:pPr>
              <w:spacing w:line="276" w:lineRule="auto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Times New Roman"/>
                <w:b/>
                <w:sz w:val="17"/>
              </w:rPr>
              <w:t>Sonuç ve Açıklamalar</w:t>
            </w:r>
          </w:p>
        </w:tc>
      </w:tr>
      <w:tr w:rsidR="008974C8" w14:paraId="04E62BB6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Merkez web sayfası ve kalite sekmesinde iyileştirme çalışmalarının görünürlüğünün artırılması.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Web sayfasının güncelliği düzenli kontrol edilecek; Kalite sekmesinde İyileştirme Eylem Planı, anket/izleme sonuçları, faaliyet raporları ve kalite kanıtlarına erişim sağlanacaktır. Plan Eylül 2026 içinde yayımlanacak, sonraki güncellemeler dönemsel yapılacaktır.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Eylül 2026; ardından dönemsel ve sürekli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Merkez web sayfası aktif olarak kullanılmaktadır. 2022-2026 faaliyetleri, raporlar ve kalite kanıtları mevcuttur. Bu planın Kalite sekmesine eklenmesiyle iyileştirme eylemleri görünür ve izlenebilir hâle getirilecektir.</w:t>
            </w:r>
          </w:p>
        </w:tc>
      </w:tr>
      <w:tr w:rsidR="008974C8" w14:paraId="5BC70005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PUKÖ döngüsünün faaliyet, performans ve iyileştirme süreçlerinde sistematik hâle getirilmesi.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Planla: anket, stratejik hedef ve paydaş ihtiyaçlarına göre faaliyet planı oluşturulacaktır. Uygula: eğitim, fuar, staj, söyleşi, girişimcilik ve benzeri faaliyetler yürütülecektir. Kontrol Et: katılım, anket ve performans göstergeleri izlenecektir. Önlem Al: hedef altında kalan alanlar için düzeltici/önleyici eylemler güncellenecektir.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2026-2027; çeyreklik ve yıllık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Merkez performansları Strateji Geliştirme Daire Başkanlığı tarafından çeyreklik dönemlerde izlenmektedir. Mevcut uygulama bu eylem planı ile kayıtlı ve izlenebilir PUKÖ yapısına dönüştürülecektir.</w:t>
            </w:r>
          </w:p>
        </w:tc>
      </w:tr>
      <w:tr w:rsidR="008974C8" w14:paraId="0B4048EE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Anket sonuçlarının karar ve faaliyet planlarına daha sistematik aktarılması.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Dört anket tek kalite veri setinde birlikte değerlendirilecek; düşük puanlı ve yüksek ihtiyaçlı alanlar yıllık faaliyet takvimine bağlanacaktır. Aynı göstergeler bir sonraki anket döneminde karşılaştırılarak iyileşme düzeyi izlenecektir.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Her eğitim-öğretim yılı; ilk değerlendirme Eylül-Ekim 2026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Mezun Memnuniyet Anketi n=250, Öğrenci İhtiyaç Analizi n=357, Mezun Yetkinlik İhtiyaç Analizi n=12 ve Kariyer Merkezi Öğrenci Memnuniyet Anketi n=89'dur. Ortak ihtiyaçlar deneyim/staj, yabancı dil, CV/LinkedIn, mülakat, iş arama ve teknik/dijital yetkinliktir.</w:t>
            </w:r>
          </w:p>
        </w:tc>
      </w:tr>
      <w:tr w:rsidR="008974C8" w14:paraId="59402E3F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Öğrencilerin Merkez faaliyetlerine erişim ve katılımının artırılması.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Fakülte/MYO kariyer temsilcileri, ders içi kısa tanıtımlar, hedefli e-posta ve sosyal medya duyuruları, QR katılım kaydı ve birim bazlı iletişim planı uygulanacaktır.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Eylül 2026-Haziran 2027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Kariyer Merkezi Öğrenci Memnuniyet Anketinde 89 öğrencinin 55'i hiç faaliyete katılmadığını bildirmiştir. Yeni dönemde katılım oranı temel izleme göstergelerinden biri olarak kullanılacaktır.</w:t>
            </w:r>
          </w:p>
        </w:tc>
      </w:tr>
      <w:tr w:rsidR="008974C8" w14:paraId="233C79BD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Kariyer planlama, CV/LinkedIn, iş arama ve mülakat becerilerinin güçlendirilmesi.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Uygulamalı CV kliniği, LinkedIn profil incelemesi, deneme mülakatları, iş arama stratejileri ve kariyer planlama atölyeleri düzenlenecek; İŞKUR Kampüs ve akademik birimlerle iş birliği yapılacaktır.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2026-2027 Eğitim-Öğretim Yılı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Öğrenci İhtiyaç Analizinde kariyer planlama 201, CV hazırlama 174, iş arama stratejileri 150 ve mülakat 144 yanıtla öne çıkmıştır; CV/LinkedIn/portföy eksikliği 118 yanıttır. Mevcut CV-mülakat faaliyetleri veri temelli olarak genişletilecektir.</w:t>
            </w:r>
          </w:p>
        </w:tc>
      </w:tr>
      <w:tr w:rsidR="008974C8" w14:paraId="7A381441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Yabancı dil ve uluslararası kariyer yetkinliğinin geliştirilmesi.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İş İngilizcesi, sektörel yabancı dil, uluslararası iş/staj fırsatları ve ihtiyaç hâlinde Almanca gibi hedefli içerikler periyodik programlara dönüştürülecektir.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2026-2027 Eğitim-Öğretim Yılı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Öğrenci İhtiyaç Analizinde 190 öğrenci yabancı dili kariyer engeli olarak belirtmiştir. Mezun Memnuniyet Anketinde yabancı dil katkısı 2,96/5 ile en düşük alanlardan biridir. Geçmişte yürütülen İş Yaşamında İngilizcenin Önemi ve Almanya'da İş Fırsatları faaliyetlerinin sürekliliği güçlendirilecektir.</w:t>
            </w:r>
          </w:p>
        </w:tc>
      </w:tr>
      <w:tr w:rsidR="008974C8" w14:paraId="10F37680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Teknik ve dijital yetkinlik/sertifika ihtiyaçlarının karşılanması.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Sürekli Eğitim Merkezi, Teknoloji Transfer Ofisi, fakülteler ve dış paydaşlarla kısa eğitim/sertifika takvimi oluşturulacak; MS Office, Canva, proje yönetimi, Python, dijital pazarlama ve alan özgü yazılımlar önceliklendirilecektir.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2026-2027 Eğitim-Öğretim Yılı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Öğrenci İhtiyaç Analizinde MS Office 142, Canva 113, proje yönetimi 107, Python 102 ve dijital pazarlama 94 yanıt almıştır. Mezun Memnuniyet Anketinde bilgisayar/dijital yetkinlik katkısı 3,25/5'tir. İçerikler birim ve sektör ihtiyaçlarına göre farklılaştırılacaktır.</w:t>
            </w:r>
          </w:p>
        </w:tc>
      </w:tr>
      <w:tr w:rsidR="008974C8" w14:paraId="5A472C65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Staj ve uygulamalı deneyim imkânlarının genişletilmesi.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İŞKUR Kampüs, Ulusal Staj Programı, işveren protokolleri, sektör-öğrenci buluşmaları ve firma eşleştirmeleri artırılacak; iş/staj duyuruları Mezun Takip Sistemi ve kariyer platformları üzerinden yaygınlaştırılacaktır.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2026-2027 Eğitim-Öğretim Yılı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Öğrenci İhtiyaç Analizinde deneyim eksikliği 208, staj için firma bulamama 160 ve başvuru/CV eksikliği 130 yanıtla öne çıkmıştır. İŞKUR Kampüs iş birliği ve Ulusal Staj Programı mevcut olup yeni dönemde staj, görüşme ve yerleşme çıktıları ayrıca izlenecektir.</w:t>
            </w:r>
          </w:p>
        </w:tc>
      </w:tr>
      <w:tr w:rsidR="008974C8" w14:paraId="3CE36605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Kariyer fuarı ve diğer faaliyet çıktılarının sonuç göstergeleriyle ölçülmesi.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sz w:val="14"/>
              </w:rPr>
              <w:t>Her etkinlikte hedef kitle, katılımcı, paydaş/işveren sayısı, toplanan CV, iş/staj görüşmesi, teklif/yerleşme, memnuniyet ve geri bildirim göstergeleri standart forma işlenecektir. Amaç-kapsam, uygulama süreci, paydaşlar, öğrenci/kariyer katkısı, somut çıktılar, görsel kayıtlar ve varsa sosyal medya/duyuru kanıtları aynı şablonla arşivlenecektir.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Her faaliyet sonrası; 2026-2027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sz w:val="14"/>
              </w:rPr>
              <w:t>2022-2026 dönemine ait 45 faaliyet, 1-145. sayfalar arasında faaliyet kanıt dosyasında belgelenmiştir. Yeni döngüde faaliyet sayısına ek olarak sonuç/etki göstergeleri ve standart kanıt düzeni birlikte izlenecek; yıllık faaliyet raporu ve kalite sayfasıyla ilişkilendirilecektir.</w:t>
            </w:r>
          </w:p>
        </w:tc>
      </w:tr>
      <w:tr w:rsidR="008974C8" w14:paraId="191157AC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Mezun izleme sisteminin sürdürülebilirliği ve mezun anket katılımının artırılması.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Mezun Takip Sistemindeki %100 kayıt oranı korunacak; yeni mezunların sisteme aktarımı ve veri güncelliği izlenecek. Kayıtlı mezun havuzu, mezun memnuniyet ve yetkinlik ihtiyaç anketlerinde fakülte/bölüm bazlı hedefli katılım için kullanılacaktır.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Çeyreklik ve yıllık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Mezun Takip Sisteminde kayıt oranı %100'e ulaşmıştır. Mezun Yetkinlik İhtiyaç Analizi n=12 ile sınırlıdır ve örneklem artırılacaktır. Mezun Memnuniyet Anketinde n=250; çalışan mezun oranı %46,4, eğitim aldığı alanla ilgili çalışan oranı %34,4'tür.</w:t>
            </w:r>
          </w:p>
        </w:tc>
      </w:tr>
      <w:tr w:rsidR="008974C8" w14:paraId="39B77B77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Öncelikli alanlarda sağlık, mühendislik ve denizcilik odaklı kariyer hizmetlerinin güçlendirilmesi.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Sağlık ve mühendislikte sektör buluşması, teknik eğitim ve iş/staj iş birlikleri artırılacak; denizcilikte hedefli ihtiyaç analizi ile liman, marina ve denizcilik işletmeleriyle en az bir alan özgü etkinlik/iş birliği planlanacaktır.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2026-2027 Eğitim-Öğretim Yılı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Sağlık ve mühendislik öğrencileri genel kariyer/staj/fuar faaliyetlerinden yararlanmakta ve anketlerde temsil edilmektedir. Denizcilik alanında ayrı örneklem ve faaliyet kanıtı daha sınırlı olduğundan bu alan bağımsız bir iyileştirme hattı olarak izlenecektir.</w:t>
            </w:r>
          </w:p>
        </w:tc>
      </w:tr>
      <w:tr w:rsidR="008974C8" w14:paraId="008B6714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İç ve dış paydaş katılımı ile geri bildirim süreçlerinin sistematikleştirilmesi.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Öğrenci, mezun, fakülte/MYO, Rektörlük birimleri ve kariyer temsilcileri ile İŞKUR, ALTSO, Cumhurbaşkanlığı İnsan Kaynakları Ofisi, işverenler, yerel yönetimler, meslek kuruluşları ve paydaş üniversitelerden görüşler düzenli alınacak; tutanak/formlarla kayıt altına alınarak faaliyet planlarına yansıtılacaktır.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Yıllık ve faaliyet bazlı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İŞKUR Kampüs, ALKÜ-ALTSO girişimcilik çalışmaları, kariyer fuarları, staj/iş ilanları ve sektör-öğrenci buluşmaları güçlü paydaş iş birlikleridir. Yeni dönemde geri bildirimlerin kararlara aktarımı daha sistematik kanıtlanacaktır.</w:t>
            </w:r>
          </w:p>
        </w:tc>
      </w:tr>
      <w:tr w:rsidR="008974C8" w14:paraId="77A4E386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Bütçesiz yönetim modelinde kaynak ve üst yönetim desteğinin planlı biçimde izlenmesi.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Yıllık ihtiyaç ve kaynak matrisi oluşturulacak; mekân, personel, teknik altyapı, iletişim ve lojistik ihtiyaçları faaliyet öncesinde belirlenecek. Rektörlük, Genel Sekreterlik, ilgili daireler ve dış paydaş desteği koordine edilecek; kaynak yeterliliği faaliyet sonrasında değerlendirilecektir.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Yıllık planlama ve her faaliyet öncesi/sonrası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Merkezin özel bütçesi bulunmamaktadır. Faaliyetler üniversitenin ortak kaynakları ve dış paydaş iş birlikleriyle yürütülmektedir. Kaynak ihtiyacı ve risklerin standart biçimde kayda alınması, bütçesiz işleyişin sürdürülebilirliğini güçlendirecektir.</w:t>
            </w:r>
          </w:p>
        </w:tc>
      </w:tr>
      <w:tr w:rsidR="008974C8" w14:paraId="4CD73A27" w14:textId="77777777" w:rsidTr="00501957">
        <w:trPr>
          <w:cantSplit/>
        </w:trPr>
        <w:tc>
          <w:tcPr>
            <w:tcW w:w="2721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b/>
                <w:sz w:val="14"/>
              </w:rPr>
              <w:t>Bilimsel üretim ve toplumsal katkının Merkez faaliyetleriyle ilişkilendirilmesi ve görünürlüğünün artırılması.</w:t>
            </w:r>
          </w:p>
        </w:tc>
        <w:tc>
          <w:tcPr>
            <w:tcW w:w="2438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Merkez yönetimindeki akademisyenlerin 2022-2026 yayınları yıllık olarak derlenecek; kariyer, istihdam, dijitalleşme, yapay zekâ, sağlık, sürdürülebilirlik ve sosyal politika temaları uygun eğitim/etkinlik içeriklerine aktarılacak ve web sayfasında görünür kılınacaktır.</w:t>
            </w:r>
          </w:p>
        </w:tc>
        <w:tc>
          <w:tcPr>
            <w:tcW w:w="2324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Eylül 2026; ardından yıllık güncelleme</w:t>
            </w:r>
          </w:p>
        </w:tc>
        <w:tc>
          <w:tcPr>
            <w:tcW w:w="2835" w:type="dxa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Arial" w:hAnsi="Arial"/>
                <w:sz w:val="14"/>
              </w:rPr>
              <w:t>Doç. Dr. Sergen Gürsoy ve Doç. Dr. Ali Osman Uymaz'ın 2022-2026 yayın portföyü derlenmiştir. 45 toplumsal katkı/kariyer faaliyeti ile birlikte Merkezin akademik ve toplumsal katkı kapasitesi kalite kanıtı olarak sunulmaktadır.</w:t>
            </w:r>
          </w:p>
        </w:tc>
      </w:tr>
    </w:tbl>
    <w:bookmarkEnd w:id="0"/>
    <w:bookmarkEnd w:id="1"/>
    <w:bookmarkEnd w:id="2"/>
    <w:p w14:paraId="03AB530C" w14:textId="5AFFBB0F" w:rsidR="00747E4E" w:rsidRPr="00501957" w:rsidRDefault="00501957" w:rsidP="00747E4E">
      <w:pPr>
        <w:spacing w:after="0" w:line="276" w:lineRule="auto" w:before="80"/>
        <w:rPr>
          <w:rFonts w:ascii="Times New Roman" w:hAnsi="Times New Roman" w:cs="Times New Roman"/>
          <w:sz w:val="20"/>
        </w:rPr>
      </w:pPr>
      <w:r w:rsidRPr="00501957">
        <w:rPr>
          <w:rFonts w:ascii="Arial" w:hAnsi="Arial" w:cs="Times New Roman"/>
          <w:sz w:val="14"/>
        </w:rPr>
        <w:t xml:space="preserve">*Memnuniyet anketleri, İç tetkik sonuçları, Öğrenci dönüşleri, Dış </w:t>
      </w:r>
      <w:r w:rsidR="00834F5B">
        <w:rPr>
          <w:rFonts w:ascii="Arial" w:hAnsi="Arial" w:cs="Times New Roman"/>
          <w:sz w:val="14"/>
        </w:rPr>
        <w:t>d</w:t>
      </w:r>
      <w:r w:rsidRPr="00501957">
        <w:rPr>
          <w:rFonts w:ascii="Arial" w:hAnsi="Arial" w:cs="Times New Roman"/>
          <w:sz w:val="14"/>
        </w:rPr>
        <w:t>eğerlendirici vb. iyileştirme konuları.</w:t>
      </w:r>
    </w:p>
    <w:sectPr w:rsidR="00533CB2" w:rsidRPr="00747E4E" w:rsidSect="00533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39A67" w14:textId="77777777" w:rsidR="00275F98" w:rsidRDefault="00275F98" w:rsidP="00FD6C4B">
      <w:pPr>
        <w:spacing w:after="0" w:line="240" w:lineRule="auto"/>
      </w:pPr>
      <w:r>
        <w:separator/>
      </w:r>
    </w:p>
  </w:endnote>
  <w:endnote w:type="continuationSeparator" w:id="0">
    <w:p w14:paraId="7F840CCB" w14:textId="77777777" w:rsidR="00275F98" w:rsidRDefault="00275F98" w:rsidP="00FD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3DAC" w14:textId="77777777" w:rsidR="005810F2" w:rsidRDefault="005810F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974"/>
      <w:gridCol w:w="3402"/>
      <w:gridCol w:w="3402"/>
    </w:tblGrid>
    <w:tr w:rsidR="00533CB2" w:rsidRPr="00533CB2" w14:paraId="58A845F1" w14:textId="77777777" w:rsidTr="00FB5115">
      <w:trPr>
        <w:trHeight w:val="340"/>
        <w:jc w:val="center"/>
      </w:trPr>
      <w:tc>
        <w:tcPr>
          <w:tcW w:w="397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7B6304" w14:textId="77777777" w:rsidR="00533CB2" w:rsidRPr="00533CB2" w:rsidRDefault="00533CB2" w:rsidP="00533CB2">
          <w:pPr>
            <w:spacing w:after="0" w:line="240" w:lineRule="auto" w:before="0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Arial" w:eastAsia="Times New Roman" w:hAnsi="Arial" w:cs="Times New Roman"/>
              <w:kern w:val="0"/>
              <w:sz w:val="16"/>
              <w:lang w:eastAsia="tr-TR"/>
              <w14:ligatures w14:val="none"/>
            </w:rPr>
            <w:t>Hazırlayan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7B4E" w14:textId="77777777" w:rsidR="00533CB2" w:rsidRPr="00533CB2" w:rsidRDefault="00533CB2" w:rsidP="00533CB2">
          <w:pPr>
            <w:spacing w:after="0" w:line="240" w:lineRule="auto" w:before="0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Arial" w:eastAsia="Times New Roman" w:hAnsi="Arial" w:cs="Times New Roman"/>
              <w:kern w:val="0"/>
              <w:sz w:val="16"/>
              <w:lang w:eastAsia="tr-TR"/>
              <w14:ligatures w14:val="none"/>
            </w:rPr>
            <w:t>Sistem Onayı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0911391" w14:textId="77777777" w:rsidR="00533CB2" w:rsidRPr="00533CB2" w:rsidRDefault="00533CB2" w:rsidP="00533CB2">
          <w:pPr>
            <w:spacing w:after="0" w:line="240" w:lineRule="auto" w:before="0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Arial" w:eastAsia="Times New Roman" w:hAnsi="Arial" w:cs="Times New Roman"/>
              <w:kern w:val="0"/>
              <w:sz w:val="16"/>
              <w:lang w:eastAsia="tr-TR"/>
              <w14:ligatures w14:val="none"/>
            </w:rPr>
            <w:t>Yürürlük Onayı</w:t>
          </w:r>
        </w:p>
      </w:tc>
    </w:tr>
    <w:tr w:rsidR="00533CB2" w:rsidRPr="00533CB2" w14:paraId="42EF05E7" w14:textId="77777777" w:rsidTr="00FB5115">
      <w:trPr>
        <w:trHeight w:val="340"/>
        <w:jc w:val="center"/>
      </w:trPr>
      <w:tc>
        <w:tcPr>
          <w:tcW w:w="397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spacing w:before="0" w:after="0"/>
            <w:jc w:val="center"/>
          </w:pPr>
          <w:r>
            <w:rPr>
              <w:rFonts w:ascii="Arial" w:hAnsi="Arial"/>
              <w:sz w:val="16"/>
            </w:rPr>
            <w:t>Merkez Kalite Sorumlusu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204728" w14:textId="77777777" w:rsidR="00533CB2" w:rsidRPr="00533CB2" w:rsidRDefault="00533CB2" w:rsidP="00533CB2">
          <w:pPr>
            <w:spacing w:after="0" w:line="240" w:lineRule="auto" w:before="0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Arial" w:eastAsia="Times New Roman" w:hAnsi="Arial" w:cs="Times New Roman"/>
              <w:kern w:val="0"/>
              <w:sz w:val="16"/>
              <w:lang w:eastAsia="tr-TR"/>
              <w14:ligatures w14:val="none"/>
            </w:rPr>
            <w:t>Kalite Koordinatörü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569069" w14:textId="77777777" w:rsidR="00533CB2" w:rsidRPr="00533CB2" w:rsidRDefault="00533CB2" w:rsidP="00533CB2">
          <w:pPr>
            <w:spacing w:after="0" w:line="240" w:lineRule="auto" w:before="0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Arial" w:eastAsia="Times New Roman" w:hAnsi="Arial" w:cs="Times New Roman"/>
              <w:kern w:val="0"/>
              <w:sz w:val="16"/>
              <w:lang w:eastAsia="tr-TR"/>
              <w14:ligatures w14:val="none"/>
            </w:rPr>
            <w:t>Üst Yönetici</w:t>
          </w:r>
        </w:p>
      </w:tc>
    </w:tr>
  </w:tbl>
  <w:p w14:paraId="78919782" w14:textId="6458615A" w:rsidR="00533CB2" w:rsidRDefault="00533CB2">
    <w:pPr>
      <w:pStyle w:val="AltBilgi"/>
    </w:pPr>
  </w:p>
  <w:p w14:paraId="770C905D" w14:textId="77777777" w:rsidR="00533CB2" w:rsidRDefault="00533C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85F79" w14:textId="77777777" w:rsidR="005810F2" w:rsidRDefault="005810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B3BCD" w14:textId="77777777" w:rsidR="00275F98" w:rsidRDefault="00275F98" w:rsidP="00FD6C4B">
      <w:pPr>
        <w:spacing w:after="0" w:line="240" w:lineRule="auto"/>
      </w:pPr>
      <w:r>
        <w:separator/>
      </w:r>
    </w:p>
  </w:footnote>
  <w:footnote w:type="continuationSeparator" w:id="0">
    <w:p w14:paraId="14B2AF4D" w14:textId="77777777" w:rsidR="00275F98" w:rsidRDefault="00275F98" w:rsidP="00FD6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ACFFB" w14:textId="77777777" w:rsidR="005810F2" w:rsidRDefault="005810F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3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295"/>
      <w:gridCol w:w="4935"/>
      <w:gridCol w:w="1872"/>
      <w:gridCol w:w="1321"/>
    </w:tblGrid>
    <w:tr w:rsidR="00533CB2" w:rsidRPr="00533CB2" w14:paraId="469AAF88" w14:textId="77777777" w:rsidTr="00FB5115">
      <w:trPr>
        <w:trHeight w:val="287"/>
      </w:trPr>
      <w:tc>
        <w:tcPr>
          <w:tcW w:w="2295" w:type="dxa"/>
          <w:vMerge w:val="restart"/>
          <w:vAlign w:val="center"/>
        </w:tcPr>
        <w:p w14:paraId="4FDBC21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  <w:r w:rsidRPr="00533CB2">
            <w:rPr>
              <w:rFonts w:ascii="Arial" w:eastAsia="Calibri" w:hAnsi="Arial" w:cs="Arial"/>
              <w:noProof/>
              <w:kern w:val="0"/>
              <w:sz w:val="22"/>
              <w:szCs w:val="22"/>
              <w:lang w:eastAsia="tr-TR"/>
              <w14:ligatures w14:val="none"/>
            </w:rPr>
            <w:drawing>
              <wp:inline distT="0" distB="0" distL="0" distR="0" wp14:anchorId="58D510B7" wp14:editId="00EF24A3">
                <wp:extent cx="838200" cy="838200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5" w:type="dxa"/>
          <w:vMerge w:val="restart"/>
          <w:vAlign w:val="center"/>
        </w:tcPr>
        <w:p>
          <w:pPr>
            <w:spacing w:before="0" w:after="0"/>
            <w:jc w:val="center"/>
          </w:pPr>
          <w:r>
            <w:rPr>
              <w:rFonts w:ascii="Arial" w:hAnsi="Arial"/>
              <w:b/>
              <w:sz w:val="18"/>
            </w:rPr>
            <w:t>KARİYER GELİŞTİRME, UYGULAMA VE ARAŞTIRMA MERKEZİ</w:t>
            <w:br/>
            <w:t>2026-2027 İYİLEŞTİRME EYLEM PLANI</w:t>
          </w:r>
        </w:p>
      </w:tc>
      <w:tc>
        <w:tcPr>
          <w:tcW w:w="1872" w:type="dxa"/>
          <w:vAlign w:val="center"/>
        </w:tcPr>
        <w:p w14:paraId="68C568AA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Arial" w:eastAsia="Calibri" w:hAnsi="Arial" w:cs="Times New Roman"/>
              <w:kern w:val="0"/>
              <w14:ligatures w14:val="none"/>
              <w:sz w:val="17"/>
            </w:rPr>
            <w:t>Doküman No</w:t>
          </w:r>
        </w:p>
      </w:tc>
      <w:tc>
        <w:tcPr>
          <w:tcW w:w="1321" w:type="dxa"/>
          <w:vAlign w:val="center"/>
        </w:tcPr>
        <w:p w14:paraId="784D3FEF" w14:textId="0CFFA3B8" w:rsidR="00533CB2" w:rsidRPr="00533CB2" w:rsidRDefault="00DB51DC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Arial" w:eastAsia="Calibri" w:hAnsi="Arial" w:cs="Times New Roman"/>
              <w:b/>
              <w:kern w:val="0"/>
              <w14:ligatures w14:val="none"/>
              <w:sz w:val="17"/>
            </w:rPr>
            <w:t>PL.009</w:t>
          </w:r>
        </w:p>
      </w:tc>
    </w:tr>
    <w:tr w:rsidR="00533CB2" w:rsidRPr="00533CB2" w14:paraId="0934EC79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374CCA0D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17F01FCE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7200D575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Arial" w:eastAsia="Calibri" w:hAnsi="Arial" w:cs="Times New Roman"/>
              <w:kern w:val="0"/>
              <w14:ligatures w14:val="none"/>
              <w:sz w:val="17"/>
            </w:rPr>
            <w:t>İlk Yayın Tarihi</w:t>
          </w:r>
        </w:p>
      </w:tc>
      <w:tc>
        <w:tcPr>
          <w:tcW w:w="1321" w:type="dxa"/>
          <w:vAlign w:val="center"/>
        </w:tcPr>
        <w:p w14:paraId="2509EF7A" w14:textId="4A78690C" w:rsidR="00533CB2" w:rsidRPr="00533CB2" w:rsidRDefault="00DB51DC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Arial" w:eastAsia="Calibri" w:hAnsi="Arial" w:cs="Times New Roman"/>
              <w:b/>
              <w:kern w:val="0"/>
              <w14:ligatures w14:val="none"/>
              <w:sz w:val="17"/>
            </w:rPr>
            <w:t>22</w:t>
          </w:r>
          <w:r w:rsidR="005810F2">
            <w:rPr>
              <w:rFonts w:ascii="Arial" w:eastAsia="Calibri" w:hAnsi="Arial" w:cs="Times New Roman"/>
              <w:b/>
              <w:kern w:val="0"/>
              <w14:ligatures w14:val="none"/>
              <w:sz w:val="17"/>
            </w:rPr>
            <w:t>.07</w:t>
          </w:r>
          <w:r w:rsidR="00533CB2">
            <w:rPr>
              <w:rFonts w:ascii="Arial" w:eastAsia="Calibri" w:hAnsi="Arial" w:cs="Times New Roman"/>
              <w:b/>
              <w:kern w:val="0"/>
              <w14:ligatures w14:val="none"/>
              <w:sz w:val="17"/>
            </w:rPr>
            <w:t>.2025</w:t>
          </w:r>
        </w:p>
      </w:tc>
    </w:tr>
    <w:tr w:rsidR="00533CB2" w:rsidRPr="00533CB2" w14:paraId="03F4B6D2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4E60869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681753BF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61F4B5E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Arial" w:eastAsia="Calibri" w:hAnsi="Arial" w:cs="Times New Roman"/>
              <w:kern w:val="0"/>
              <w14:ligatures w14:val="none"/>
              <w:sz w:val="17"/>
            </w:rPr>
            <w:t>Revizyon Tarihi</w:t>
          </w:r>
        </w:p>
      </w:tc>
      <w:tc>
        <w:tcPr>
          <w:tcW w:w="1321" w:type="dxa"/>
          <w:vAlign w:val="center"/>
        </w:tcPr>
        <w:p w14:paraId="03F25D5F" w14:textId="77E12749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 w:rsidRPr="00533CB2">
            <w:rPr>
              <w:rFonts w:ascii="Arial" w:eastAsia="Calibri" w:hAnsi="Arial" w:cs="Times New Roman"/>
              <w:b/>
              <w:kern w:val="0"/>
              <w14:ligatures w14:val="none"/>
              <w:sz w:val="17"/>
            </w:rPr>
            <w:t>-</w:t>
          </w:r>
        </w:p>
      </w:tc>
    </w:tr>
    <w:tr w:rsidR="00533CB2" w:rsidRPr="00533CB2" w14:paraId="04256EF2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5E163755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155595B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0F5C6AAA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Arial" w:eastAsia="Calibri" w:hAnsi="Arial" w:cs="Times New Roman"/>
              <w:kern w:val="0"/>
              <w14:ligatures w14:val="none"/>
              <w:sz w:val="17"/>
            </w:rPr>
            <w:t>Revizyon No</w:t>
          </w:r>
        </w:p>
      </w:tc>
      <w:tc>
        <w:tcPr>
          <w:tcW w:w="1321" w:type="dxa"/>
          <w:vAlign w:val="center"/>
        </w:tcPr>
        <w:p w14:paraId="6774BA8C" w14:textId="747789A8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Arial" w:eastAsia="Calibri" w:hAnsi="Arial" w:cs="Times New Roman"/>
              <w:b/>
              <w:kern w:val="0"/>
              <w14:ligatures w14:val="none"/>
              <w:sz w:val="17"/>
            </w:rPr>
            <w:t>0</w:t>
          </w:r>
        </w:p>
      </w:tc>
    </w:tr>
    <w:tr w:rsidR="00533CB2" w:rsidRPr="00533CB2" w14:paraId="08023C6F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2B1DE47A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34D2D664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17778B67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Arial" w:eastAsia="Calibri" w:hAnsi="Arial" w:cs="Times New Roman"/>
              <w:kern w:val="0"/>
              <w14:ligatures w14:val="none"/>
              <w:sz w:val="17"/>
            </w:rPr>
            <w:t>Sayfa</w:t>
          </w:r>
        </w:p>
      </w:tc>
      <w:tc>
        <w:tcPr>
          <w:tcW w:w="1321" w:type="dxa"/>
          <w:vAlign w:val="center"/>
        </w:tcPr>
        <w:p>
          <w:pPr>
            <w:jc w:val="center"/>
          </w:pPr>
          <w:r>
            <w:rPr>
              <w:rFonts w:ascii="Arial" w:hAnsi="Arial"/>
              <w:sz w:val="17"/>
            </w:rPr>
          </w:r>
          <w:r>
            <w:rPr>
              <w:rFonts w:ascii="Arial" w:hAnsi="Arial"/>
              <w:sz w:val="17"/>
            </w:rPr>
            <w:fldChar w:fldCharType="begin"/>
            <w:instrText xml:space="preserve">PAGE</w:instrText>
            <w:fldChar w:fldCharType="end"/>
          </w:r>
          <w:r>
            <w:rPr>
              <w:rFonts w:ascii="Arial" w:hAnsi="Arial"/>
              <w:sz w:val="17"/>
            </w:rPr>
            <w:t>/</w:t>
          </w:r>
          <w:r>
            <w:rPr>
              <w:rFonts w:ascii="Arial" w:hAnsi="Arial"/>
              <w:sz w:val="17"/>
            </w:rPr>
            <w:fldChar w:fldCharType="begin"/>
            <w:instrText xml:space="preserve">NUMPAGES</w:instrText>
            <w:fldChar w:fldCharType="end"/>
          </w:r>
        </w:p>
      </w:tc>
    </w:tr>
  </w:tbl>
  <w:p w14:paraId="4A688F10" w14:textId="66075024" w:rsidR="00533CB2" w:rsidRDefault="00533CB2">
    <w:pPr>
      <w:pStyle w:val="stBilgi"/>
    </w:pPr>
  </w:p>
  <w:p w14:paraId="537CC83D" w14:textId="77777777" w:rsidR="00533CB2" w:rsidRDefault="00533CB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1758E" w14:textId="77777777" w:rsidR="005810F2" w:rsidRDefault="005810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876"/>
    <w:multiLevelType w:val="multilevel"/>
    <w:tmpl w:val="D5B8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D201B"/>
    <w:multiLevelType w:val="multilevel"/>
    <w:tmpl w:val="D624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5B"/>
    <w:rsid w:val="00275F98"/>
    <w:rsid w:val="002B0B5B"/>
    <w:rsid w:val="004B1E33"/>
    <w:rsid w:val="00501957"/>
    <w:rsid w:val="00515EAF"/>
    <w:rsid w:val="00533CB2"/>
    <w:rsid w:val="005810F2"/>
    <w:rsid w:val="006544C3"/>
    <w:rsid w:val="00683758"/>
    <w:rsid w:val="00747E4E"/>
    <w:rsid w:val="007E5BEB"/>
    <w:rsid w:val="00834F5B"/>
    <w:rsid w:val="0087446E"/>
    <w:rsid w:val="008759DC"/>
    <w:rsid w:val="008974C8"/>
    <w:rsid w:val="009A5F9C"/>
    <w:rsid w:val="009B4A85"/>
    <w:rsid w:val="00BD58FD"/>
    <w:rsid w:val="00DB51DC"/>
    <w:rsid w:val="00E34660"/>
    <w:rsid w:val="00EE61DD"/>
    <w:rsid w:val="00F81F2E"/>
    <w:rsid w:val="00FD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D48AC"/>
  <w15:chartTrackingRefBased/>
  <w15:docId w15:val="{0CFC088B-46F9-41A8-A9CA-E43F9F87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B0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B0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B0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B0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B0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B0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B0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B0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B0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B0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B0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B0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B0B5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B0B5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B0B5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B0B5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B0B5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B0B5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B0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0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B0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B0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B0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B0B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B0B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B0B5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B0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B0B5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B0B5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FD6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6C4B"/>
  </w:style>
  <w:style w:type="paragraph" w:styleId="AltBilgi">
    <w:name w:val="footer"/>
    <w:basedOn w:val="Normal"/>
    <w:link w:val="AltBilgiChar"/>
    <w:uiPriority w:val="99"/>
    <w:unhideWhenUsed/>
    <w:rsid w:val="00FD6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6C4B"/>
  </w:style>
  <w:style w:type="table" w:styleId="TabloKlavuzu">
    <w:name w:val="Table Grid"/>
    <w:basedOn w:val="NormalTablo"/>
    <w:uiPriority w:val="39"/>
    <w:rsid w:val="00F81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81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1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UĞURLU</dc:creator>
  <cp:keywords/>
  <dc:description/>
  <cp:lastModifiedBy>Alku</cp:lastModifiedBy>
  <cp:revision>26</cp:revision>
  <cp:lastPrinted>2025-07-22T09:19:00Z</cp:lastPrinted>
  <dcterms:created xsi:type="dcterms:W3CDTF">2025-04-09T14:49:00Z</dcterms:created>
  <dcterms:modified xsi:type="dcterms:W3CDTF">2025-07-22T09:30:00Z</dcterms:modified>
</cp:coreProperties>
</file>