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34"/>
        </w:rPr>
        <w:t>TIP FAKÜLTESİ</w:t>
        <w:br/>
        <w:t>İHTİYAÇ ANALİZİ RAPORU</w:t>
      </w:r>
    </w:p>
    <w:p>
      <w:pPr>
        <w:jc w:val="center"/>
      </w:pPr>
      <w:r>
        <w:rPr>
          <w:b/>
        </w:rPr>
        <w:t>Katılımcı Sayısı: 3</w:t>
      </w:r>
    </w:p>
    <w:p>
      <w:pPr>
        <w:pStyle w:val="Heading1"/>
      </w:pPr>
      <w:r>
        <w:t>1. Fakülte Geneli Sonuçları</w:t>
      </w:r>
    </w:p>
    <w:p>
      <w:r>
        <w:t>Tıp Fakültesinden ankete toplam 3 öğrenci katılmıştır. Katılımcı sayısının oldukça sınırlı olması nedeniyle bulgular fakültenin tamamını temsil eden kesin sonuçlar olarak değil, katılımcı öğrencilerin öncelikli ihtiyaçlarına ilişkin bir eğilim göstergesi olarak değerlendirilmelidir. Çoklu seçimli sorularda yüzdelerin toplamı %100’ü aşabilmektedir.</w:t>
      </w:r>
    </w:p>
    <w:p>
      <w:pPr>
        <w:pStyle w:val="Heading2"/>
      </w:pPr>
      <w:r>
        <w:t>1.1. Talep Edilen Yazılım ve Sertifika Programları</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Canva</w:t>
            </w:r>
          </w:p>
        </w:tc>
        <w:tc>
          <w:tcPr>
            <w:tcW w:type="dxa" w:w="3408"/>
            <w:vAlign w:val="center"/>
          </w:tcPr>
          <w:p>
            <w:r>
              <w:t>1</w:t>
            </w:r>
          </w:p>
        </w:tc>
        <w:tc>
          <w:tcPr>
            <w:tcW w:type="dxa" w:w="3408"/>
            <w:vAlign w:val="center"/>
          </w:tcPr>
          <w:p>
            <w:r>
              <w:t>33.3</w:t>
            </w:r>
          </w:p>
        </w:tc>
      </w:tr>
      <w:tr>
        <w:tc>
          <w:tcPr>
            <w:tcW w:type="dxa" w:w="3408"/>
            <w:vAlign w:val="center"/>
          </w:tcPr>
          <w:p>
            <w:r>
              <w:t>PACS</w:t>
            </w:r>
          </w:p>
        </w:tc>
        <w:tc>
          <w:tcPr>
            <w:tcW w:type="dxa" w:w="3408"/>
            <w:vAlign w:val="center"/>
          </w:tcPr>
          <w:p>
            <w:r>
              <w:t>1</w:t>
            </w:r>
          </w:p>
        </w:tc>
        <w:tc>
          <w:tcPr>
            <w:tcW w:type="dxa" w:w="3408"/>
            <w:vAlign w:val="center"/>
          </w:tcPr>
          <w:p>
            <w:r>
              <w:t>33.3</w:t>
            </w:r>
          </w:p>
        </w:tc>
      </w:tr>
    </w:tbl>
    <w:p/>
    <w:p>
      <w:pPr>
        <w:jc w:val="center"/>
      </w:pPr>
      <w:r>
        <w:drawing>
          <wp:inline xmlns:a="http://schemas.openxmlformats.org/drawingml/2006/main" xmlns:pic="http://schemas.openxmlformats.org/drawingml/2006/picture">
            <wp:extent cx="6309360" cy="2205540"/>
            <wp:docPr id="1" name="Picture 1"/>
            <wp:cNvGraphicFramePr>
              <a:graphicFrameLocks noChangeAspect="1"/>
            </wp:cNvGraphicFramePr>
            <a:graphic>
              <a:graphicData uri="http://schemas.openxmlformats.org/drawingml/2006/picture">
                <pic:pic>
                  <pic:nvPicPr>
                    <pic:cNvPr id="0" name="software.png"/>
                    <pic:cNvPicPr/>
                  </pic:nvPicPr>
                  <pic:blipFill>
                    <a:blip r:embed="rId9"/>
                    <a:stretch>
                      <a:fillRect/>
                    </a:stretch>
                  </pic:blipFill>
                  <pic:spPr>
                    <a:xfrm>
                      <a:off x="0" y="0"/>
                      <a:ext cx="6309360" cy="2205540"/>
                    </a:xfrm>
                    <a:prstGeom prst="rect"/>
                  </pic:spPr>
                </pic:pic>
              </a:graphicData>
            </a:graphic>
          </wp:inline>
        </w:drawing>
      </w:r>
    </w:p>
    <w:p>
      <w:pPr>
        <w:jc w:val="center"/>
      </w:pPr>
      <w:r>
        <w:rPr>
          <w:i/>
          <w:sz w:val="16"/>
        </w:rPr>
        <w:t>Şekil 1. Talep Edilen Yazılım ve Sertifika Programları</w:t>
      </w:r>
    </w:p>
    <w:p>
      <w:r>
        <w:t>Öne çıkan seçenekler: Canva (n=1; %33.3), PACS (n=1; %33.3).</w:t>
      </w:r>
    </w:p>
    <w:p>
      <w:pPr>
        <w:pStyle w:val="Heading2"/>
      </w:pPr>
      <w:r>
        <w:t>1.2. Tercih Edilen Eğitim Formatları</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Yüz yüze</w:t>
            </w:r>
          </w:p>
        </w:tc>
        <w:tc>
          <w:tcPr>
            <w:tcW w:type="dxa" w:w="3408"/>
            <w:vAlign w:val="center"/>
          </w:tcPr>
          <w:p>
            <w:r>
              <w:t>2</w:t>
            </w:r>
          </w:p>
        </w:tc>
        <w:tc>
          <w:tcPr>
            <w:tcW w:type="dxa" w:w="3408"/>
            <w:vAlign w:val="center"/>
          </w:tcPr>
          <w:p>
            <w:r>
              <w:t>66.7</w:t>
            </w:r>
          </w:p>
        </w:tc>
      </w:tr>
      <w:tr>
        <w:tc>
          <w:tcPr>
            <w:tcW w:type="dxa" w:w="3408"/>
            <w:vAlign w:val="center"/>
          </w:tcPr>
          <w:p>
            <w:r>
              <w:t>Kayıt video</w:t>
            </w:r>
          </w:p>
        </w:tc>
        <w:tc>
          <w:tcPr>
            <w:tcW w:type="dxa" w:w="3408"/>
            <w:vAlign w:val="center"/>
          </w:tcPr>
          <w:p>
            <w:r>
              <w:t>1</w:t>
            </w:r>
          </w:p>
        </w:tc>
        <w:tc>
          <w:tcPr>
            <w:tcW w:type="dxa" w:w="3408"/>
            <w:vAlign w:val="center"/>
          </w:tcPr>
          <w:p>
            <w:r>
              <w:t>33.3</w:t>
            </w:r>
          </w:p>
        </w:tc>
      </w:tr>
    </w:tbl>
    <w:p/>
    <w:p>
      <w:pPr>
        <w:jc w:val="center"/>
      </w:pPr>
      <w:r>
        <w:drawing>
          <wp:inline xmlns:a="http://schemas.openxmlformats.org/drawingml/2006/main" xmlns:pic="http://schemas.openxmlformats.org/drawingml/2006/picture">
            <wp:extent cx="6309360" cy="2209749"/>
            <wp:docPr id="2" name="Picture 2"/>
            <wp:cNvGraphicFramePr>
              <a:graphicFrameLocks noChangeAspect="1"/>
            </wp:cNvGraphicFramePr>
            <a:graphic>
              <a:graphicData uri="http://schemas.openxmlformats.org/drawingml/2006/picture">
                <pic:pic>
                  <pic:nvPicPr>
                    <pic:cNvPr id="0" name="format.png"/>
                    <pic:cNvPicPr/>
                  </pic:nvPicPr>
                  <pic:blipFill>
                    <a:blip r:embed="rId10"/>
                    <a:stretch>
                      <a:fillRect/>
                    </a:stretch>
                  </pic:blipFill>
                  <pic:spPr>
                    <a:xfrm>
                      <a:off x="0" y="0"/>
                      <a:ext cx="6309360" cy="2209749"/>
                    </a:xfrm>
                    <a:prstGeom prst="rect"/>
                  </pic:spPr>
                </pic:pic>
              </a:graphicData>
            </a:graphic>
          </wp:inline>
        </w:drawing>
      </w:r>
    </w:p>
    <w:p>
      <w:pPr>
        <w:jc w:val="center"/>
      </w:pPr>
      <w:r>
        <w:rPr>
          <w:i/>
          <w:sz w:val="16"/>
        </w:rPr>
        <w:t>Şekil 2. Tercih Edilen Eğitim Formatları</w:t>
      </w:r>
    </w:p>
    <w:p>
      <w:r>
        <w:t>Öne çıkan seçenekler: Yüz yüze (n=2; %66.7), Kayıt video (n=1; %33.3).</w:t>
      </w:r>
    </w:p>
    <w:p>
      <w:pPr>
        <w:pStyle w:val="Heading2"/>
      </w:pPr>
      <w:r>
        <w:t>1.3. Tercih Edilen Eğitim Süreleri</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Haftalık 4-5 ders saati</w:t>
            </w:r>
          </w:p>
        </w:tc>
        <w:tc>
          <w:tcPr>
            <w:tcW w:type="dxa" w:w="3408"/>
            <w:vAlign w:val="center"/>
          </w:tcPr>
          <w:p>
            <w:r>
              <w:t>1</w:t>
            </w:r>
          </w:p>
        </w:tc>
        <w:tc>
          <w:tcPr>
            <w:tcW w:type="dxa" w:w="3408"/>
            <w:vAlign w:val="center"/>
          </w:tcPr>
          <w:p>
            <w:r>
              <w:t>33.3</w:t>
            </w:r>
          </w:p>
        </w:tc>
      </w:tr>
      <w:tr>
        <w:tc>
          <w:tcPr>
            <w:tcW w:type="dxa" w:w="3408"/>
            <w:vAlign w:val="center"/>
          </w:tcPr>
          <w:p>
            <w:r>
              <w:t>Haftalık 3-4 ders saati</w:t>
            </w:r>
          </w:p>
        </w:tc>
        <w:tc>
          <w:tcPr>
            <w:tcW w:type="dxa" w:w="3408"/>
            <w:vAlign w:val="center"/>
          </w:tcPr>
          <w:p>
            <w:r>
              <w:t>1</w:t>
            </w:r>
          </w:p>
        </w:tc>
        <w:tc>
          <w:tcPr>
            <w:tcW w:type="dxa" w:w="3408"/>
            <w:vAlign w:val="center"/>
          </w:tcPr>
          <w:p>
            <w:r>
              <w:t>33.3</w:t>
            </w:r>
          </w:p>
        </w:tc>
      </w:tr>
      <w:tr>
        <w:tc>
          <w:tcPr>
            <w:tcW w:type="dxa" w:w="3408"/>
            <w:vAlign w:val="center"/>
          </w:tcPr>
          <w:p>
            <w:r>
              <w:t>Haftalık 1-2 ders saati</w:t>
            </w:r>
          </w:p>
        </w:tc>
        <w:tc>
          <w:tcPr>
            <w:tcW w:type="dxa" w:w="3408"/>
            <w:vAlign w:val="center"/>
          </w:tcPr>
          <w:p>
            <w:r>
              <w:t>1</w:t>
            </w:r>
          </w:p>
        </w:tc>
        <w:tc>
          <w:tcPr>
            <w:tcW w:type="dxa" w:w="3408"/>
            <w:vAlign w:val="center"/>
          </w:tcPr>
          <w:p>
            <w:r>
              <w:t>33.3</w:t>
            </w:r>
          </w:p>
        </w:tc>
      </w:tr>
    </w:tbl>
    <w:p/>
    <w:p>
      <w:pPr>
        <w:jc w:val="center"/>
      </w:pPr>
      <w:r>
        <w:drawing>
          <wp:inline xmlns:a="http://schemas.openxmlformats.org/drawingml/2006/main" xmlns:pic="http://schemas.openxmlformats.org/drawingml/2006/picture">
            <wp:extent cx="6309360" cy="2211224"/>
            <wp:docPr id="3" name="Picture 3"/>
            <wp:cNvGraphicFramePr>
              <a:graphicFrameLocks noChangeAspect="1"/>
            </wp:cNvGraphicFramePr>
            <a:graphic>
              <a:graphicData uri="http://schemas.openxmlformats.org/drawingml/2006/picture">
                <pic:pic>
                  <pic:nvPicPr>
                    <pic:cNvPr id="0" name="duration.png"/>
                    <pic:cNvPicPr/>
                  </pic:nvPicPr>
                  <pic:blipFill>
                    <a:blip r:embed="rId11"/>
                    <a:stretch>
                      <a:fillRect/>
                    </a:stretch>
                  </pic:blipFill>
                  <pic:spPr>
                    <a:xfrm>
                      <a:off x="0" y="0"/>
                      <a:ext cx="6309360" cy="2211224"/>
                    </a:xfrm>
                    <a:prstGeom prst="rect"/>
                  </pic:spPr>
                </pic:pic>
              </a:graphicData>
            </a:graphic>
          </wp:inline>
        </w:drawing>
      </w:r>
    </w:p>
    <w:p>
      <w:pPr>
        <w:jc w:val="center"/>
      </w:pPr>
      <w:r>
        <w:rPr>
          <w:i/>
          <w:sz w:val="16"/>
        </w:rPr>
        <w:t>Şekil 3. Tercih Edilen Eğitim Süreleri</w:t>
      </w:r>
    </w:p>
    <w:p>
      <w:r>
        <w:t>Öne çıkan seçenekler: Haftalık 4-5 ders saati (n=1; %33.3), Haftalık 3-4 ders saati (n=1; %33.3), Haftalık 1-2 ders saati (n=1; %33.3).</w:t>
      </w:r>
    </w:p>
    <w:p>
      <w:pPr>
        <w:pStyle w:val="Heading2"/>
      </w:pPr>
      <w:r>
        <w:t>1.4. Mevcut Mesleki Gelişim Sorunları</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Kariyer yönünü belirlememek</w:t>
            </w:r>
          </w:p>
        </w:tc>
        <w:tc>
          <w:tcPr>
            <w:tcW w:type="dxa" w:w="3408"/>
            <w:vAlign w:val="center"/>
          </w:tcPr>
          <w:p>
            <w:r>
              <w:t>2</w:t>
            </w:r>
          </w:p>
        </w:tc>
        <w:tc>
          <w:tcPr>
            <w:tcW w:type="dxa" w:w="3408"/>
            <w:vAlign w:val="center"/>
          </w:tcPr>
          <w:p>
            <w:r>
              <w:t>66.7</w:t>
            </w:r>
          </w:p>
        </w:tc>
      </w:tr>
      <w:tr>
        <w:tc>
          <w:tcPr>
            <w:tcW w:type="dxa" w:w="3408"/>
            <w:vAlign w:val="center"/>
          </w:tcPr>
          <w:p>
            <w:r>
              <w:t>Mesleki/teknik beceri eksikliği</w:t>
            </w:r>
          </w:p>
        </w:tc>
        <w:tc>
          <w:tcPr>
            <w:tcW w:type="dxa" w:w="3408"/>
            <w:vAlign w:val="center"/>
          </w:tcPr>
          <w:p>
            <w:r>
              <w:t>1</w:t>
            </w:r>
          </w:p>
        </w:tc>
        <w:tc>
          <w:tcPr>
            <w:tcW w:type="dxa" w:w="3408"/>
            <w:vAlign w:val="center"/>
          </w:tcPr>
          <w:p>
            <w:r>
              <w:t>33.3</w:t>
            </w:r>
          </w:p>
        </w:tc>
      </w:tr>
    </w:tbl>
    <w:p/>
    <w:p>
      <w:pPr>
        <w:jc w:val="center"/>
      </w:pPr>
      <w:r>
        <w:drawing>
          <wp:inline xmlns:a="http://schemas.openxmlformats.org/drawingml/2006/main" xmlns:pic="http://schemas.openxmlformats.org/drawingml/2006/picture">
            <wp:extent cx="6309360" cy="2207012"/>
            <wp:docPr id="4" name="Picture 4"/>
            <wp:cNvGraphicFramePr>
              <a:graphicFrameLocks noChangeAspect="1"/>
            </wp:cNvGraphicFramePr>
            <a:graphic>
              <a:graphicData uri="http://schemas.openxmlformats.org/drawingml/2006/picture">
                <pic:pic>
                  <pic:nvPicPr>
                    <pic:cNvPr id="0" name="current.png"/>
                    <pic:cNvPicPr/>
                  </pic:nvPicPr>
                  <pic:blipFill>
                    <a:blip r:embed="rId12"/>
                    <a:stretch>
                      <a:fillRect/>
                    </a:stretch>
                  </pic:blipFill>
                  <pic:spPr>
                    <a:xfrm>
                      <a:off x="0" y="0"/>
                      <a:ext cx="6309360" cy="2207012"/>
                    </a:xfrm>
                    <a:prstGeom prst="rect"/>
                  </pic:spPr>
                </pic:pic>
              </a:graphicData>
            </a:graphic>
          </wp:inline>
        </w:drawing>
      </w:r>
    </w:p>
    <w:p>
      <w:pPr>
        <w:jc w:val="center"/>
      </w:pPr>
      <w:r>
        <w:rPr>
          <w:i/>
          <w:sz w:val="16"/>
        </w:rPr>
        <w:t>Şekil 4. Mevcut Mesleki Gelişim Sorunları</w:t>
      </w:r>
    </w:p>
    <w:p>
      <w:r>
        <w:t>Öne çıkan seçenekler: Kariyer yönünü belirlememek (n=2; %66.7), Mesleki/teknik beceri eksikliği (n=1; %33.3).</w:t>
      </w:r>
    </w:p>
    <w:p>
      <w:pPr>
        <w:pStyle w:val="Heading2"/>
      </w:pPr>
      <w:r>
        <w:t>1.5. Gelecekte Öngörülen Engeller</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Ücret/koşullar</w:t>
            </w:r>
          </w:p>
        </w:tc>
        <w:tc>
          <w:tcPr>
            <w:tcW w:type="dxa" w:w="3408"/>
            <w:vAlign w:val="center"/>
          </w:tcPr>
          <w:p>
            <w:r>
              <w:t>2</w:t>
            </w:r>
          </w:p>
        </w:tc>
        <w:tc>
          <w:tcPr>
            <w:tcW w:type="dxa" w:w="3408"/>
            <w:vAlign w:val="center"/>
          </w:tcPr>
          <w:p>
            <w:r>
              <w:t>66.7</w:t>
            </w:r>
          </w:p>
        </w:tc>
      </w:tr>
      <w:tr>
        <w:tc>
          <w:tcPr>
            <w:tcW w:type="dxa" w:w="3408"/>
            <w:vAlign w:val="center"/>
          </w:tcPr>
          <w:p>
            <w:r>
              <w:t>Deneyim eksikliği</w:t>
            </w:r>
          </w:p>
        </w:tc>
        <w:tc>
          <w:tcPr>
            <w:tcW w:type="dxa" w:w="3408"/>
            <w:vAlign w:val="center"/>
          </w:tcPr>
          <w:p>
            <w:r>
              <w:t>1</w:t>
            </w:r>
          </w:p>
        </w:tc>
        <w:tc>
          <w:tcPr>
            <w:tcW w:type="dxa" w:w="3408"/>
            <w:vAlign w:val="center"/>
          </w:tcPr>
          <w:p>
            <w:r>
              <w:t>33.3</w:t>
            </w:r>
          </w:p>
        </w:tc>
      </w:tr>
    </w:tbl>
    <w:p/>
    <w:p>
      <w:pPr>
        <w:jc w:val="center"/>
      </w:pPr>
      <w:r>
        <w:drawing>
          <wp:inline xmlns:a="http://schemas.openxmlformats.org/drawingml/2006/main" xmlns:pic="http://schemas.openxmlformats.org/drawingml/2006/picture">
            <wp:extent cx="6309360" cy="2211224"/>
            <wp:docPr id="5" name="Picture 5"/>
            <wp:cNvGraphicFramePr>
              <a:graphicFrameLocks noChangeAspect="1"/>
            </wp:cNvGraphicFramePr>
            <a:graphic>
              <a:graphicData uri="http://schemas.openxmlformats.org/drawingml/2006/picture">
                <pic:pic>
                  <pic:nvPicPr>
                    <pic:cNvPr id="0" name="future.png"/>
                    <pic:cNvPicPr/>
                  </pic:nvPicPr>
                  <pic:blipFill>
                    <a:blip r:embed="rId13"/>
                    <a:stretch>
                      <a:fillRect/>
                    </a:stretch>
                  </pic:blipFill>
                  <pic:spPr>
                    <a:xfrm>
                      <a:off x="0" y="0"/>
                      <a:ext cx="6309360" cy="2211224"/>
                    </a:xfrm>
                    <a:prstGeom prst="rect"/>
                  </pic:spPr>
                </pic:pic>
              </a:graphicData>
            </a:graphic>
          </wp:inline>
        </w:drawing>
      </w:r>
    </w:p>
    <w:p>
      <w:pPr>
        <w:jc w:val="center"/>
      </w:pPr>
      <w:r>
        <w:rPr>
          <w:i/>
          <w:sz w:val="16"/>
        </w:rPr>
        <w:t>Şekil 5. Gelecekte Öngörülen Engeller</w:t>
      </w:r>
    </w:p>
    <w:p>
      <w:r>
        <w:t>Öne çıkan seçenekler: Ücret/koşullar (n=2; %66.7), Deneyim eksikliği (n=1; %33.3).</w:t>
      </w:r>
    </w:p>
    <w:p>
      <w:pPr>
        <w:pStyle w:val="Heading2"/>
      </w:pPr>
      <w:r>
        <w:t>1.6. Staj Bulma Sürecindeki Zorluklar</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Ücret/koşullar</w:t>
            </w:r>
          </w:p>
        </w:tc>
        <w:tc>
          <w:tcPr>
            <w:tcW w:type="dxa" w:w="3408"/>
            <w:vAlign w:val="center"/>
          </w:tcPr>
          <w:p>
            <w:r>
              <w:t>3</w:t>
            </w:r>
          </w:p>
        </w:tc>
        <w:tc>
          <w:tcPr>
            <w:tcW w:type="dxa" w:w="3408"/>
            <w:vAlign w:val="center"/>
          </w:tcPr>
          <w:p>
            <w:r>
              <w:t>100.0</w:t>
            </w:r>
          </w:p>
        </w:tc>
      </w:tr>
      <w:tr>
        <w:tc>
          <w:tcPr>
            <w:tcW w:type="dxa" w:w="3408"/>
            <w:vAlign w:val="center"/>
          </w:tcPr>
          <w:p>
            <w:r>
              <w:t>Zaman (ders yoğunluğu)</w:t>
            </w:r>
          </w:p>
        </w:tc>
        <w:tc>
          <w:tcPr>
            <w:tcW w:type="dxa" w:w="3408"/>
            <w:vAlign w:val="center"/>
          </w:tcPr>
          <w:p>
            <w:r>
              <w:t>2</w:t>
            </w:r>
          </w:p>
        </w:tc>
        <w:tc>
          <w:tcPr>
            <w:tcW w:type="dxa" w:w="3408"/>
            <w:vAlign w:val="center"/>
          </w:tcPr>
          <w:p>
            <w:r>
              <w:t>66.7</w:t>
            </w:r>
          </w:p>
        </w:tc>
      </w:tr>
      <w:tr>
        <w:tc>
          <w:tcPr>
            <w:tcW w:type="dxa" w:w="3408"/>
            <w:vAlign w:val="center"/>
          </w:tcPr>
          <w:p>
            <w:r>
              <w:t>Ulaşım/konum</w:t>
            </w:r>
          </w:p>
        </w:tc>
        <w:tc>
          <w:tcPr>
            <w:tcW w:type="dxa" w:w="3408"/>
            <w:vAlign w:val="center"/>
          </w:tcPr>
          <w:p>
            <w:r>
              <w:t>1</w:t>
            </w:r>
          </w:p>
        </w:tc>
        <w:tc>
          <w:tcPr>
            <w:tcW w:type="dxa" w:w="3408"/>
            <w:vAlign w:val="center"/>
          </w:tcPr>
          <w:p>
            <w:r>
              <w:t>33.3</w:t>
            </w:r>
          </w:p>
        </w:tc>
      </w:tr>
    </w:tbl>
    <w:p/>
    <w:p>
      <w:pPr>
        <w:jc w:val="center"/>
      </w:pPr>
      <w:r>
        <w:drawing>
          <wp:inline xmlns:a="http://schemas.openxmlformats.org/drawingml/2006/main" xmlns:pic="http://schemas.openxmlformats.org/drawingml/2006/picture">
            <wp:extent cx="6309360" cy="2207012"/>
            <wp:docPr id="6" name="Picture 6"/>
            <wp:cNvGraphicFramePr>
              <a:graphicFrameLocks noChangeAspect="1"/>
            </wp:cNvGraphicFramePr>
            <a:graphic>
              <a:graphicData uri="http://schemas.openxmlformats.org/drawingml/2006/picture">
                <pic:pic>
                  <pic:nvPicPr>
                    <pic:cNvPr id="0" name="intern.png"/>
                    <pic:cNvPicPr/>
                  </pic:nvPicPr>
                  <pic:blipFill>
                    <a:blip r:embed="rId14"/>
                    <a:stretch>
                      <a:fillRect/>
                    </a:stretch>
                  </pic:blipFill>
                  <pic:spPr>
                    <a:xfrm>
                      <a:off x="0" y="0"/>
                      <a:ext cx="6309360" cy="2207012"/>
                    </a:xfrm>
                    <a:prstGeom prst="rect"/>
                  </pic:spPr>
                </pic:pic>
              </a:graphicData>
            </a:graphic>
          </wp:inline>
        </w:drawing>
      </w:r>
    </w:p>
    <w:p>
      <w:pPr>
        <w:jc w:val="center"/>
      </w:pPr>
      <w:r>
        <w:rPr>
          <w:i/>
          <w:sz w:val="16"/>
        </w:rPr>
        <w:t>Şekil 6. Staj Bulma Sürecindeki Zorluklar</w:t>
      </w:r>
    </w:p>
    <w:p>
      <w:r>
        <w:t>Öne çıkan seçenekler: Ücret/koşullar (n=3; %100.0), Zaman (ders yoğunluğu) (n=2; %66.7), Ulaşım/konum (n=1; %33.3).</w:t>
      </w:r>
    </w:p>
    <w:p>
      <w:pPr>
        <w:pStyle w:val="Heading2"/>
      </w:pPr>
      <w:r>
        <w:t>1.7. Talep Edilen Eğitim ve Seminerler</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CV hazırlama</w:t>
            </w:r>
          </w:p>
        </w:tc>
        <w:tc>
          <w:tcPr>
            <w:tcW w:type="dxa" w:w="3408"/>
            <w:vAlign w:val="center"/>
          </w:tcPr>
          <w:p>
            <w:r>
              <w:t>2</w:t>
            </w:r>
          </w:p>
        </w:tc>
        <w:tc>
          <w:tcPr>
            <w:tcW w:type="dxa" w:w="3408"/>
            <w:vAlign w:val="center"/>
          </w:tcPr>
          <w:p>
            <w:r>
              <w:t>66.7</w:t>
            </w:r>
          </w:p>
        </w:tc>
      </w:tr>
      <w:tr>
        <w:tc>
          <w:tcPr>
            <w:tcW w:type="dxa" w:w="3408"/>
            <w:vAlign w:val="center"/>
          </w:tcPr>
          <w:p>
            <w:r>
              <w:t>Zaman yönetimi / verimlilik</w:t>
            </w:r>
          </w:p>
        </w:tc>
        <w:tc>
          <w:tcPr>
            <w:tcW w:type="dxa" w:w="3408"/>
            <w:vAlign w:val="center"/>
          </w:tcPr>
          <w:p>
            <w:r>
              <w:t>2</w:t>
            </w:r>
          </w:p>
        </w:tc>
        <w:tc>
          <w:tcPr>
            <w:tcW w:type="dxa" w:w="3408"/>
            <w:vAlign w:val="center"/>
          </w:tcPr>
          <w:p>
            <w:r>
              <w:t>66.7</w:t>
            </w:r>
          </w:p>
        </w:tc>
      </w:tr>
      <w:tr>
        <w:tc>
          <w:tcPr>
            <w:tcW w:type="dxa" w:w="3408"/>
            <w:vAlign w:val="center"/>
          </w:tcPr>
          <w:p>
            <w:r>
              <w:t>Etkili iletişim ve sunum becerileri</w:t>
            </w:r>
          </w:p>
        </w:tc>
        <w:tc>
          <w:tcPr>
            <w:tcW w:type="dxa" w:w="3408"/>
            <w:vAlign w:val="center"/>
          </w:tcPr>
          <w:p>
            <w:r>
              <w:t>1</w:t>
            </w:r>
          </w:p>
        </w:tc>
        <w:tc>
          <w:tcPr>
            <w:tcW w:type="dxa" w:w="3408"/>
            <w:vAlign w:val="center"/>
          </w:tcPr>
          <w:p>
            <w:r>
              <w:t>33.3</w:t>
            </w:r>
          </w:p>
        </w:tc>
      </w:tr>
      <w:tr>
        <w:tc>
          <w:tcPr>
            <w:tcW w:type="dxa" w:w="3408"/>
            <w:vAlign w:val="center"/>
          </w:tcPr>
          <w:p>
            <w:r>
              <w:t>Takım çalışması / çatışma yönetimi</w:t>
            </w:r>
          </w:p>
        </w:tc>
        <w:tc>
          <w:tcPr>
            <w:tcW w:type="dxa" w:w="3408"/>
            <w:vAlign w:val="center"/>
          </w:tcPr>
          <w:p>
            <w:r>
              <w:t>1</w:t>
            </w:r>
          </w:p>
        </w:tc>
        <w:tc>
          <w:tcPr>
            <w:tcW w:type="dxa" w:w="3408"/>
            <w:vAlign w:val="center"/>
          </w:tcPr>
          <w:p>
            <w:r>
              <w:t>33.3</w:t>
            </w:r>
          </w:p>
        </w:tc>
      </w:tr>
    </w:tbl>
    <w:p/>
    <w:p>
      <w:pPr>
        <w:jc w:val="center"/>
      </w:pPr>
      <w:r>
        <w:drawing>
          <wp:inline xmlns:a="http://schemas.openxmlformats.org/drawingml/2006/main" xmlns:pic="http://schemas.openxmlformats.org/drawingml/2006/picture">
            <wp:extent cx="6309360" cy="2212701"/>
            <wp:docPr id="7" name="Picture 7"/>
            <wp:cNvGraphicFramePr>
              <a:graphicFrameLocks noChangeAspect="1"/>
            </wp:cNvGraphicFramePr>
            <a:graphic>
              <a:graphicData uri="http://schemas.openxmlformats.org/drawingml/2006/picture">
                <pic:pic>
                  <pic:nvPicPr>
                    <pic:cNvPr id="0" name="seminar.png"/>
                    <pic:cNvPicPr/>
                  </pic:nvPicPr>
                  <pic:blipFill>
                    <a:blip r:embed="rId15"/>
                    <a:stretch>
                      <a:fillRect/>
                    </a:stretch>
                  </pic:blipFill>
                  <pic:spPr>
                    <a:xfrm>
                      <a:off x="0" y="0"/>
                      <a:ext cx="6309360" cy="2212701"/>
                    </a:xfrm>
                    <a:prstGeom prst="rect"/>
                  </pic:spPr>
                </pic:pic>
              </a:graphicData>
            </a:graphic>
          </wp:inline>
        </w:drawing>
      </w:r>
    </w:p>
    <w:p>
      <w:pPr>
        <w:jc w:val="center"/>
      </w:pPr>
      <w:r>
        <w:rPr>
          <w:i/>
          <w:sz w:val="16"/>
        </w:rPr>
        <w:t>Şekil 7. Talep Edilen Eğitim ve Seminerler</w:t>
      </w:r>
    </w:p>
    <w:p>
      <w:r>
        <w:t>Öne çıkan seçenekler: CV hazırlama (n=2; %66.7), Zaman yönetimi / verimlilik (n=2; %66.7), Etkili iletişim ve sunum becerileri (n=1; %33.3).</w:t>
      </w:r>
    </w:p>
    <w:p>
      <w:r>
        <w:br w:type="page"/>
      </w:r>
    </w:p>
    <w:p>
      <w:pPr>
        <w:pStyle w:val="Heading1"/>
      </w:pPr>
      <w:r>
        <w:t>2. Bölüm Bazında Sonuçlar</w:t>
      </w:r>
    </w:p>
    <w:p>
      <w:pPr>
        <w:pStyle w:val="Heading2"/>
      </w:pPr>
      <w:r>
        <w:t>2.1. Tıp Bölümü</w:t>
      </w:r>
    </w:p>
    <w:p>
      <w:r>
        <w:t>Tıp Bölümünden ankete 3 öğrenci katılmıştır. Fakültedeki tüm katılımcılar Tıp Bölümünde öğrenim gördüğünden bölüm sonuçları fakülte geneliyle aynıdır. Bununla birlikte bölüm sonuçları aşağıda ayrı olarak sunulmuştur.</w:t>
      </w:r>
    </w:p>
    <w:p>
      <w:pPr>
        <w:pStyle w:val="Heading3"/>
      </w:pPr>
      <w:r>
        <w:t>Yazılım ve Sertifika Talepleri</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Canva</w:t>
            </w:r>
          </w:p>
        </w:tc>
        <w:tc>
          <w:tcPr>
            <w:tcW w:type="dxa" w:w="3408"/>
            <w:vAlign w:val="center"/>
          </w:tcPr>
          <w:p>
            <w:r>
              <w:t>1</w:t>
            </w:r>
          </w:p>
        </w:tc>
        <w:tc>
          <w:tcPr>
            <w:tcW w:type="dxa" w:w="3408"/>
            <w:vAlign w:val="center"/>
          </w:tcPr>
          <w:p>
            <w:r>
              <w:t>33.3</w:t>
            </w:r>
          </w:p>
        </w:tc>
      </w:tr>
      <w:tr>
        <w:tc>
          <w:tcPr>
            <w:tcW w:type="dxa" w:w="3408"/>
            <w:vAlign w:val="center"/>
          </w:tcPr>
          <w:p>
            <w:r>
              <w:t>PACS</w:t>
            </w:r>
          </w:p>
        </w:tc>
        <w:tc>
          <w:tcPr>
            <w:tcW w:type="dxa" w:w="3408"/>
            <w:vAlign w:val="center"/>
          </w:tcPr>
          <w:p>
            <w:r>
              <w:t>1</w:t>
            </w:r>
          </w:p>
        </w:tc>
        <w:tc>
          <w:tcPr>
            <w:tcW w:type="dxa" w:w="3408"/>
            <w:vAlign w:val="center"/>
          </w:tcPr>
          <w:p>
            <w:r>
              <w:t>33.3</w:t>
            </w:r>
          </w:p>
        </w:tc>
      </w:tr>
    </w:tbl>
    <w:p/>
    <w:p>
      <w:pPr>
        <w:pStyle w:val="Heading3"/>
      </w:pPr>
      <w:r>
        <w:t>Eğitim Formatı Tercihleri</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Yüz yüze</w:t>
            </w:r>
          </w:p>
        </w:tc>
        <w:tc>
          <w:tcPr>
            <w:tcW w:type="dxa" w:w="3408"/>
            <w:vAlign w:val="center"/>
          </w:tcPr>
          <w:p>
            <w:r>
              <w:t>2</w:t>
            </w:r>
          </w:p>
        </w:tc>
        <w:tc>
          <w:tcPr>
            <w:tcW w:type="dxa" w:w="3408"/>
            <w:vAlign w:val="center"/>
          </w:tcPr>
          <w:p>
            <w:r>
              <w:t>66.7</w:t>
            </w:r>
          </w:p>
        </w:tc>
      </w:tr>
      <w:tr>
        <w:tc>
          <w:tcPr>
            <w:tcW w:type="dxa" w:w="3408"/>
            <w:vAlign w:val="center"/>
          </w:tcPr>
          <w:p>
            <w:r>
              <w:t>Kayıt video</w:t>
            </w:r>
          </w:p>
        </w:tc>
        <w:tc>
          <w:tcPr>
            <w:tcW w:type="dxa" w:w="3408"/>
            <w:vAlign w:val="center"/>
          </w:tcPr>
          <w:p>
            <w:r>
              <w:t>1</w:t>
            </w:r>
          </w:p>
        </w:tc>
        <w:tc>
          <w:tcPr>
            <w:tcW w:type="dxa" w:w="3408"/>
            <w:vAlign w:val="center"/>
          </w:tcPr>
          <w:p>
            <w:r>
              <w:t>33.3</w:t>
            </w:r>
          </w:p>
        </w:tc>
      </w:tr>
    </w:tbl>
    <w:p/>
    <w:p>
      <w:pPr>
        <w:pStyle w:val="Heading3"/>
      </w:pPr>
      <w:r>
        <w:t>Eğitim Süresi Tercihleri</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Haftalık 4-5 ders saati</w:t>
            </w:r>
          </w:p>
        </w:tc>
        <w:tc>
          <w:tcPr>
            <w:tcW w:type="dxa" w:w="3408"/>
            <w:vAlign w:val="center"/>
          </w:tcPr>
          <w:p>
            <w:r>
              <w:t>1</w:t>
            </w:r>
          </w:p>
        </w:tc>
        <w:tc>
          <w:tcPr>
            <w:tcW w:type="dxa" w:w="3408"/>
            <w:vAlign w:val="center"/>
          </w:tcPr>
          <w:p>
            <w:r>
              <w:t>33.3</w:t>
            </w:r>
          </w:p>
        </w:tc>
      </w:tr>
      <w:tr>
        <w:tc>
          <w:tcPr>
            <w:tcW w:type="dxa" w:w="3408"/>
            <w:vAlign w:val="center"/>
          </w:tcPr>
          <w:p>
            <w:r>
              <w:t>Haftalık 3-4 ders saati</w:t>
            </w:r>
          </w:p>
        </w:tc>
        <w:tc>
          <w:tcPr>
            <w:tcW w:type="dxa" w:w="3408"/>
            <w:vAlign w:val="center"/>
          </w:tcPr>
          <w:p>
            <w:r>
              <w:t>1</w:t>
            </w:r>
          </w:p>
        </w:tc>
        <w:tc>
          <w:tcPr>
            <w:tcW w:type="dxa" w:w="3408"/>
            <w:vAlign w:val="center"/>
          </w:tcPr>
          <w:p>
            <w:r>
              <w:t>33.3</w:t>
            </w:r>
          </w:p>
        </w:tc>
      </w:tr>
      <w:tr>
        <w:tc>
          <w:tcPr>
            <w:tcW w:type="dxa" w:w="3408"/>
            <w:vAlign w:val="center"/>
          </w:tcPr>
          <w:p>
            <w:r>
              <w:t>Haftalık 1-2 ders saati</w:t>
            </w:r>
          </w:p>
        </w:tc>
        <w:tc>
          <w:tcPr>
            <w:tcW w:type="dxa" w:w="3408"/>
            <w:vAlign w:val="center"/>
          </w:tcPr>
          <w:p>
            <w:r>
              <w:t>1</w:t>
            </w:r>
          </w:p>
        </w:tc>
        <w:tc>
          <w:tcPr>
            <w:tcW w:type="dxa" w:w="3408"/>
            <w:vAlign w:val="center"/>
          </w:tcPr>
          <w:p>
            <w:r>
              <w:t>33.3</w:t>
            </w:r>
          </w:p>
        </w:tc>
      </w:tr>
    </w:tbl>
    <w:p/>
    <w:p>
      <w:pPr>
        <w:pStyle w:val="Heading3"/>
      </w:pPr>
      <w:r>
        <w:t>Mevcut Mesleki Gelişim Sorunları</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Kariyer yönünü belirlememek</w:t>
            </w:r>
          </w:p>
        </w:tc>
        <w:tc>
          <w:tcPr>
            <w:tcW w:type="dxa" w:w="3408"/>
            <w:vAlign w:val="center"/>
          </w:tcPr>
          <w:p>
            <w:r>
              <w:t>2</w:t>
            </w:r>
          </w:p>
        </w:tc>
        <w:tc>
          <w:tcPr>
            <w:tcW w:type="dxa" w:w="3408"/>
            <w:vAlign w:val="center"/>
          </w:tcPr>
          <w:p>
            <w:r>
              <w:t>66.7</w:t>
            </w:r>
          </w:p>
        </w:tc>
      </w:tr>
      <w:tr>
        <w:tc>
          <w:tcPr>
            <w:tcW w:type="dxa" w:w="3408"/>
            <w:vAlign w:val="center"/>
          </w:tcPr>
          <w:p>
            <w:r>
              <w:t>Mesleki/teknik beceri eksikliği</w:t>
            </w:r>
          </w:p>
        </w:tc>
        <w:tc>
          <w:tcPr>
            <w:tcW w:type="dxa" w:w="3408"/>
            <w:vAlign w:val="center"/>
          </w:tcPr>
          <w:p>
            <w:r>
              <w:t>1</w:t>
            </w:r>
          </w:p>
        </w:tc>
        <w:tc>
          <w:tcPr>
            <w:tcW w:type="dxa" w:w="3408"/>
            <w:vAlign w:val="center"/>
          </w:tcPr>
          <w:p>
            <w:r>
              <w:t>33.3</w:t>
            </w:r>
          </w:p>
        </w:tc>
      </w:tr>
    </w:tbl>
    <w:p/>
    <w:p>
      <w:pPr>
        <w:pStyle w:val="Heading3"/>
      </w:pPr>
      <w:r>
        <w:t>Gelecekte Öngörülen Engeller</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Ücret/koşullar</w:t>
            </w:r>
          </w:p>
        </w:tc>
        <w:tc>
          <w:tcPr>
            <w:tcW w:type="dxa" w:w="3408"/>
            <w:vAlign w:val="center"/>
          </w:tcPr>
          <w:p>
            <w:r>
              <w:t>2</w:t>
            </w:r>
          </w:p>
        </w:tc>
        <w:tc>
          <w:tcPr>
            <w:tcW w:type="dxa" w:w="3408"/>
            <w:vAlign w:val="center"/>
          </w:tcPr>
          <w:p>
            <w:r>
              <w:t>66.7</w:t>
            </w:r>
          </w:p>
        </w:tc>
      </w:tr>
      <w:tr>
        <w:tc>
          <w:tcPr>
            <w:tcW w:type="dxa" w:w="3408"/>
            <w:vAlign w:val="center"/>
          </w:tcPr>
          <w:p>
            <w:r>
              <w:t>Deneyim eksikliği</w:t>
            </w:r>
          </w:p>
        </w:tc>
        <w:tc>
          <w:tcPr>
            <w:tcW w:type="dxa" w:w="3408"/>
            <w:vAlign w:val="center"/>
          </w:tcPr>
          <w:p>
            <w:r>
              <w:t>1</w:t>
            </w:r>
          </w:p>
        </w:tc>
        <w:tc>
          <w:tcPr>
            <w:tcW w:type="dxa" w:w="3408"/>
            <w:vAlign w:val="center"/>
          </w:tcPr>
          <w:p>
            <w:r>
              <w:t>33.3</w:t>
            </w:r>
          </w:p>
        </w:tc>
      </w:tr>
    </w:tbl>
    <w:p/>
    <w:p>
      <w:pPr>
        <w:pStyle w:val="Heading3"/>
      </w:pPr>
      <w:r>
        <w:t>Staj Bulma Sürecindeki Zorluklar</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Ücret/koşullar</w:t>
            </w:r>
          </w:p>
        </w:tc>
        <w:tc>
          <w:tcPr>
            <w:tcW w:type="dxa" w:w="3408"/>
            <w:vAlign w:val="center"/>
          </w:tcPr>
          <w:p>
            <w:r>
              <w:t>3</w:t>
            </w:r>
          </w:p>
        </w:tc>
        <w:tc>
          <w:tcPr>
            <w:tcW w:type="dxa" w:w="3408"/>
            <w:vAlign w:val="center"/>
          </w:tcPr>
          <w:p>
            <w:r>
              <w:t>100.0</w:t>
            </w:r>
          </w:p>
        </w:tc>
      </w:tr>
      <w:tr>
        <w:tc>
          <w:tcPr>
            <w:tcW w:type="dxa" w:w="3408"/>
            <w:vAlign w:val="center"/>
          </w:tcPr>
          <w:p>
            <w:r>
              <w:t>Zaman (ders yoğunluğu)</w:t>
            </w:r>
          </w:p>
        </w:tc>
        <w:tc>
          <w:tcPr>
            <w:tcW w:type="dxa" w:w="3408"/>
            <w:vAlign w:val="center"/>
          </w:tcPr>
          <w:p>
            <w:r>
              <w:t>2</w:t>
            </w:r>
          </w:p>
        </w:tc>
        <w:tc>
          <w:tcPr>
            <w:tcW w:type="dxa" w:w="3408"/>
            <w:vAlign w:val="center"/>
          </w:tcPr>
          <w:p>
            <w:r>
              <w:t>66.7</w:t>
            </w:r>
          </w:p>
        </w:tc>
      </w:tr>
      <w:tr>
        <w:tc>
          <w:tcPr>
            <w:tcW w:type="dxa" w:w="3408"/>
            <w:vAlign w:val="center"/>
          </w:tcPr>
          <w:p>
            <w:r>
              <w:t>Ulaşım/konum</w:t>
            </w:r>
          </w:p>
        </w:tc>
        <w:tc>
          <w:tcPr>
            <w:tcW w:type="dxa" w:w="3408"/>
            <w:vAlign w:val="center"/>
          </w:tcPr>
          <w:p>
            <w:r>
              <w:t>1</w:t>
            </w:r>
          </w:p>
        </w:tc>
        <w:tc>
          <w:tcPr>
            <w:tcW w:type="dxa" w:w="3408"/>
            <w:vAlign w:val="center"/>
          </w:tcPr>
          <w:p>
            <w:r>
              <w:t>33.3</w:t>
            </w:r>
          </w:p>
        </w:tc>
      </w:tr>
    </w:tbl>
    <w:p/>
    <w:p>
      <w:pPr>
        <w:pStyle w:val="Heading3"/>
      </w:pPr>
      <w:r>
        <w:t>Eğitim ve Seminer Talepleri</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CV hazırlama</w:t>
            </w:r>
          </w:p>
        </w:tc>
        <w:tc>
          <w:tcPr>
            <w:tcW w:type="dxa" w:w="3408"/>
            <w:vAlign w:val="center"/>
          </w:tcPr>
          <w:p>
            <w:r>
              <w:t>2</w:t>
            </w:r>
          </w:p>
        </w:tc>
        <w:tc>
          <w:tcPr>
            <w:tcW w:type="dxa" w:w="3408"/>
            <w:vAlign w:val="center"/>
          </w:tcPr>
          <w:p>
            <w:r>
              <w:t>66.7</w:t>
            </w:r>
          </w:p>
        </w:tc>
      </w:tr>
      <w:tr>
        <w:tc>
          <w:tcPr>
            <w:tcW w:type="dxa" w:w="3408"/>
            <w:vAlign w:val="center"/>
          </w:tcPr>
          <w:p>
            <w:r>
              <w:t>Zaman yönetimi / verimlilik</w:t>
            </w:r>
          </w:p>
        </w:tc>
        <w:tc>
          <w:tcPr>
            <w:tcW w:type="dxa" w:w="3408"/>
            <w:vAlign w:val="center"/>
          </w:tcPr>
          <w:p>
            <w:r>
              <w:t>2</w:t>
            </w:r>
          </w:p>
        </w:tc>
        <w:tc>
          <w:tcPr>
            <w:tcW w:type="dxa" w:w="3408"/>
            <w:vAlign w:val="center"/>
          </w:tcPr>
          <w:p>
            <w:r>
              <w:t>66.7</w:t>
            </w:r>
          </w:p>
        </w:tc>
      </w:tr>
      <w:tr>
        <w:tc>
          <w:tcPr>
            <w:tcW w:type="dxa" w:w="3408"/>
            <w:vAlign w:val="center"/>
          </w:tcPr>
          <w:p>
            <w:r>
              <w:t>Etkili iletişim ve sunum becerileri</w:t>
            </w:r>
          </w:p>
        </w:tc>
        <w:tc>
          <w:tcPr>
            <w:tcW w:type="dxa" w:w="3408"/>
            <w:vAlign w:val="center"/>
          </w:tcPr>
          <w:p>
            <w:r>
              <w:t>1</w:t>
            </w:r>
          </w:p>
        </w:tc>
        <w:tc>
          <w:tcPr>
            <w:tcW w:type="dxa" w:w="3408"/>
            <w:vAlign w:val="center"/>
          </w:tcPr>
          <w:p>
            <w:r>
              <w:t>33.3</w:t>
            </w:r>
          </w:p>
        </w:tc>
      </w:tr>
      <w:tr>
        <w:tc>
          <w:tcPr>
            <w:tcW w:type="dxa" w:w="3408"/>
            <w:vAlign w:val="center"/>
          </w:tcPr>
          <w:p>
            <w:r>
              <w:t>Takım çalışması / çatışma yönetimi</w:t>
            </w:r>
          </w:p>
        </w:tc>
        <w:tc>
          <w:tcPr>
            <w:tcW w:type="dxa" w:w="3408"/>
            <w:vAlign w:val="center"/>
          </w:tcPr>
          <w:p>
            <w:r>
              <w:t>1</w:t>
            </w:r>
          </w:p>
        </w:tc>
        <w:tc>
          <w:tcPr>
            <w:tcW w:type="dxa" w:w="3408"/>
            <w:vAlign w:val="center"/>
          </w:tcPr>
          <w:p>
            <w:r>
              <w:t>33.3</w:t>
            </w:r>
          </w:p>
        </w:tc>
      </w:tr>
    </w:tbl>
    <w:p/>
    <w:p>
      <w:pPr>
        <w:pStyle w:val="Heading3"/>
      </w:pPr>
      <w:r>
        <w:t>Tıp Bölümü Değerlendirmesi</w:t>
      </w:r>
    </w:p>
    <w:p>
      <w:r>
        <w:t>Tıp Bölümü katılımcılarında mevcut sorunlar Kariyer yönünü belirlememek (n=2; %66.7), Mesleki/teknik beceri eksikliği (n=1; %33.3); geleceğe yönelik engeller Ücret/koşullar (n=2; %66.7), Deneyim eksikliği (n=1; %33.3) olarak öne çıkmıştır. Staj ve uygulama sürecinde Ücret/koşullar (n=3; %100.0), Zaman (ders yoğunluğu) (n=2; %66.7) dikkat çekerken, eğitim ve seminer talepleri CV hazırlama (n=2; %66.7), Zaman yönetimi / verimlilik (n=2; %66.7), Etkili iletişim ve sunum becerileri (n=1; %33.3) konularında yoğunlaşmıştır.</w:t>
      </w:r>
    </w:p>
    <w:p>
      <w:pPr>
        <w:pStyle w:val="Heading1"/>
      </w:pPr>
      <w:r>
        <w:t>3. Öncelikli Öneriler</w:t>
      </w:r>
    </w:p>
    <w:p>
      <w:pPr>
        <w:pStyle w:val="ListBullet"/>
      </w:pPr>
      <w:r>
        <w:t>Tıp öğrencilerine yönelik sağlık bilişimi, HBYS/PACS, veri analizi ve araştırma yöntemleri eğitimleri düzenlenmelidir.</w:t>
      </w:r>
    </w:p>
    <w:p>
      <w:pPr>
        <w:pStyle w:val="ListBullet"/>
      </w:pPr>
      <w:r>
        <w:t>Klinik uygulama, staj ve gözlem olanakları konusunda kurumlarla iş birlikleri güçlendirilmelidir.</w:t>
      </w:r>
    </w:p>
    <w:p>
      <w:pPr>
        <w:pStyle w:val="ListBullet"/>
      </w:pPr>
      <w:r>
        <w:t>Bilimsel araştırma, akademik kariyer, CV hazırlama, yabancı dil ve iletişim becerileri desteklenmelidir.</w:t>
      </w:r>
    </w:p>
    <w:p>
      <w:pPr>
        <w:pStyle w:val="ListBullet"/>
      </w:pPr>
      <w:r>
        <w:t>Eğitimler kısa, uygulamalı ve kayıtlı içeriklerle desteklenen hibrit formatta planlanmalıdır.</w:t>
      </w:r>
    </w:p>
    <w:sectPr w:rsidR="00FC693F" w:rsidRPr="0006063C" w:rsidSect="00034616">
      <w:footerReference w:type="default" r:id="rId16"/>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6"/>
      </w:rPr>
      <w:t>ALKÜ Kariyer Geliştirme Uygulama ve Araştırma Merkezi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rPr>
      <w:rFonts w:ascii="Arial" w:hAnsi="Arial" w:eastAsia="Arial"/>
    </w:rPr>
  </w:style>
  <w:style w:type="character" w:customStyle="1" w:styleId="HeaderChar">
    <w:name w:val="Header Char"/>
    <w:basedOn w:val="DefaultParagraphFont"/>
    <w:link w:val="Header"/>
    <w:uiPriority w:val="99"/>
    <w:rsid w:val="00E618BF"/>
    <w:rPr>
      <w:rFonts w:ascii="Arial" w:hAnsi="Arial" w:eastAsia="Arial"/>
    </w:rPr>
  </w:style>
  <w:style w:type="paragraph" w:styleId="Footer">
    <w:name w:val="footer"/>
    <w:basedOn w:val="Normal"/>
    <w:link w:val="FooterChar"/>
    <w:uiPriority w:val="99"/>
    <w:unhideWhenUsed/>
    <w:rsid w:val="00E618BF"/>
    <w:pPr>
      <w:tabs>
        <w:tab w:val="center" w:pos="4680"/>
        <w:tab w:val="right" w:pos="9360"/>
      </w:tabs>
      <w:spacing w:after="0" w:line="240" w:lineRule="auto"/>
    </w:pPr>
    <w:rPr>
      <w:rFonts w:ascii="Arial" w:hAnsi="Arial" w:eastAsia="Arial"/>
    </w:rPr>
  </w:style>
  <w:style w:type="character" w:customStyle="1" w:styleId="FooterChar">
    <w:name w:val="Footer Char"/>
    <w:basedOn w:val="DefaultParagraphFont"/>
    <w:link w:val="Footer"/>
    <w:uiPriority w:val="99"/>
    <w:rsid w:val="00E618BF"/>
    <w:rPr>
      <w:rFonts w:ascii="Arial" w:hAnsi="Arial" w:eastAsia="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2F75B5"/>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3F3F3F"/>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Arial" w:hAnsi="Arial" w:eastAsia="Arial"/>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Arial" w:hAnsi="Arial" w:eastAsia="Arial"/>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Arial" w:hAnsi="Arial" w:eastAsia="Arial"/>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Arial" w:hAnsi="Arial" w:eastAsia="Arial"/>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Arial" w:hAnsi="Arial" w:eastAsia="Arial"/>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Arial" w:hAnsi="Arial" w:eastAsia="Arial"/>
      <w:i/>
      <w:iCs/>
      <w:color w:val="404040" w:themeColor="text1" w:themeTint="BF"/>
      <w:sz w:val="20"/>
      <w:szCs w:val="20"/>
    </w:rPr>
  </w:style>
  <w:style w:type="character" w:default="1" w:styleId="DefaultParagraphFont">
    <w:name w:val="Default Paragraph Font"/>
    <w:uiPriority w:val="1"/>
    <w:semiHidden/>
    <w:unhideWhenUsed/>
    <w:rPr>
      <w:rFonts w:ascii="Arial" w:hAnsi="Arial" w:eastAsia="Arial"/>
    </w:rPr>
  </w:style>
  <w:style w:type="table" w:default="1" w:styleId="TableNormal">
    <w:name w:val="Normal Table"/>
    <w:uiPriority w:val="99"/>
    <w:semiHidden/>
    <w:unhideWhenUsed/>
    <w:rPr>
      <w:rFonts w:ascii="Arial" w:hAnsi="Arial" w:eastAsia="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rPr>
      <w:rFonts w:ascii="Arial" w:hAnsi="Arial" w:eastAsia="Arial"/>
    </w:r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ascii="Arial" w:hAnsi="Arial" w:eastAsia="Arial"/>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ascii="Arial" w:hAnsi="Arial" w:eastAsia="Arial"/>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ascii="Arial" w:hAnsi="Arial" w:eastAsia="Arial"/>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b/>
      <w:color w:val="1F4E79"/>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ascii="Arial" w:hAnsi="Arial" w:eastAsia="Arial"/>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rial" w:hAnsi="Arial" w:eastAsia="Arial"/>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ascii="Arial" w:hAnsi="Arial" w:eastAsia="Arial"/>
      <w:i/>
      <w:iCs/>
      <w:color w:val="4F81BD" w:themeColor="accent1"/>
      <w:spacing w:val="15"/>
      <w:sz w:val="24"/>
      <w:szCs w:val="24"/>
    </w:rPr>
  </w:style>
  <w:style w:type="paragraph" w:styleId="ListParagraph">
    <w:name w:val="List Paragraph"/>
    <w:basedOn w:val="Normal"/>
    <w:uiPriority w:val="34"/>
    <w:qFormat/>
    <w:rsid w:val="00FC693F"/>
    <w:pPr>
      <w:ind w:left="720"/>
      <w:contextualSpacing/>
    </w:pPr>
    <w:rPr>
      <w:rFonts w:ascii="Arial" w:hAnsi="Arial" w:eastAsia="Arial"/>
    </w:rPr>
  </w:style>
  <w:style w:type="paragraph" w:styleId="BodyText">
    <w:name w:val="Body Text"/>
    <w:basedOn w:val="Normal"/>
    <w:link w:val="BodyTextChar"/>
    <w:uiPriority w:val="99"/>
    <w:unhideWhenUsed/>
    <w:rsid w:val="00AA1D8D"/>
    <w:pPr>
      <w:spacing w:after="120"/>
    </w:pPr>
    <w:rPr>
      <w:rFonts w:ascii="Arial" w:hAnsi="Arial" w:eastAsia="Arial"/>
    </w:rPr>
  </w:style>
  <w:style w:type="character" w:customStyle="1" w:styleId="BodyTextChar">
    <w:name w:val="Body Text Char"/>
    <w:basedOn w:val="DefaultParagraphFont"/>
    <w:link w:val="BodyText"/>
    <w:uiPriority w:val="99"/>
    <w:rsid w:val="00AA1D8D"/>
    <w:rPr>
      <w:rFonts w:ascii="Arial" w:hAnsi="Arial" w:eastAsia="Arial"/>
    </w:rPr>
  </w:style>
  <w:style w:type="paragraph" w:styleId="BodyText2">
    <w:name w:val="Body Text 2"/>
    <w:basedOn w:val="Normal"/>
    <w:link w:val="BodyText2Char"/>
    <w:uiPriority w:val="99"/>
    <w:unhideWhenUsed/>
    <w:rsid w:val="00AA1D8D"/>
    <w:pPr>
      <w:spacing w:after="120" w:line="480" w:lineRule="auto"/>
    </w:pPr>
    <w:rPr>
      <w:rFonts w:ascii="Arial" w:hAnsi="Arial" w:eastAsia="Arial"/>
    </w:rPr>
  </w:style>
  <w:style w:type="character" w:customStyle="1" w:styleId="BodyText2Char">
    <w:name w:val="Body Text 2 Char"/>
    <w:basedOn w:val="DefaultParagraphFont"/>
    <w:link w:val="BodyText2"/>
    <w:uiPriority w:val="99"/>
    <w:rsid w:val="00AA1D8D"/>
    <w:rPr>
      <w:rFonts w:ascii="Arial" w:hAnsi="Arial" w:eastAsia="Arial"/>
    </w:rPr>
  </w:style>
  <w:style w:type="paragraph" w:styleId="BodyText3">
    <w:name w:val="Body Text 3"/>
    <w:basedOn w:val="Normal"/>
    <w:link w:val="BodyText3Char"/>
    <w:uiPriority w:val="99"/>
    <w:unhideWhenUsed/>
    <w:rsid w:val="00AA1D8D"/>
    <w:pPr>
      <w:spacing w:after="120"/>
    </w:pPr>
    <w:rPr>
      <w:rFonts w:ascii="Arial" w:hAnsi="Arial" w:eastAsia="Arial"/>
      <w:sz w:val="16"/>
      <w:szCs w:val="16"/>
    </w:rPr>
  </w:style>
  <w:style w:type="character" w:customStyle="1" w:styleId="BodyText3Char">
    <w:name w:val="Body Text 3 Char"/>
    <w:basedOn w:val="DefaultParagraphFont"/>
    <w:link w:val="BodyText3"/>
    <w:uiPriority w:val="99"/>
    <w:rsid w:val="00AA1D8D"/>
    <w:rPr>
      <w:rFonts w:ascii="Arial" w:hAnsi="Arial" w:eastAsia="Arial"/>
      <w:sz w:val="16"/>
      <w:szCs w:val="16"/>
    </w:rPr>
  </w:style>
  <w:style w:type="paragraph" w:styleId="List">
    <w:name w:val="List"/>
    <w:basedOn w:val="Normal"/>
    <w:uiPriority w:val="99"/>
    <w:unhideWhenUsed/>
    <w:rsid w:val="00AA1D8D"/>
    <w:pPr>
      <w:ind w:left="360" w:hanging="360"/>
      <w:contextualSpacing/>
    </w:pPr>
    <w:rPr>
      <w:rFonts w:ascii="Arial" w:hAnsi="Arial" w:eastAsia="Arial"/>
    </w:rPr>
  </w:style>
  <w:style w:type="paragraph" w:styleId="List2">
    <w:name w:val="List 2"/>
    <w:basedOn w:val="Normal"/>
    <w:uiPriority w:val="99"/>
    <w:unhideWhenUsed/>
    <w:rsid w:val="00326F90"/>
    <w:pPr>
      <w:ind w:left="720" w:hanging="360"/>
      <w:contextualSpacing/>
    </w:pPr>
    <w:rPr>
      <w:rFonts w:ascii="Arial" w:hAnsi="Arial" w:eastAsia="Arial"/>
    </w:rPr>
  </w:style>
  <w:style w:type="paragraph" w:styleId="List3">
    <w:name w:val="List 3"/>
    <w:basedOn w:val="Normal"/>
    <w:uiPriority w:val="99"/>
    <w:unhideWhenUsed/>
    <w:rsid w:val="00326F90"/>
    <w:pPr>
      <w:ind w:left="1080" w:hanging="360"/>
      <w:contextualSpacing/>
    </w:pPr>
    <w:rPr>
      <w:rFonts w:ascii="Arial" w:hAnsi="Arial" w:eastAsia="Arial"/>
    </w:rPr>
  </w:style>
  <w:style w:type="paragraph" w:styleId="ListBullet">
    <w:name w:val="List Bullet"/>
    <w:basedOn w:val="Normal"/>
    <w:uiPriority w:val="99"/>
    <w:unhideWhenUsed/>
    <w:rsid w:val="00326F90"/>
    <w:pPr>
      <w:numPr>
        <w:numId w:val="1"/>
      </w:numPr>
      <w:contextualSpacing/>
    </w:pPr>
    <w:rPr>
      <w:rFonts w:ascii="Arial" w:hAnsi="Arial" w:eastAsia="Arial"/>
    </w:rPr>
  </w:style>
  <w:style w:type="paragraph" w:styleId="ListBullet2">
    <w:name w:val="List Bullet 2"/>
    <w:basedOn w:val="Normal"/>
    <w:uiPriority w:val="99"/>
    <w:unhideWhenUsed/>
    <w:rsid w:val="00326F90"/>
    <w:pPr>
      <w:numPr>
        <w:numId w:val="2"/>
      </w:numPr>
      <w:contextualSpacing/>
    </w:pPr>
    <w:rPr>
      <w:rFonts w:ascii="Arial" w:hAnsi="Arial" w:eastAsia="Arial"/>
    </w:rPr>
  </w:style>
  <w:style w:type="paragraph" w:styleId="ListBullet3">
    <w:name w:val="List Bullet 3"/>
    <w:basedOn w:val="Normal"/>
    <w:uiPriority w:val="99"/>
    <w:unhideWhenUsed/>
    <w:rsid w:val="00326F90"/>
    <w:pPr>
      <w:numPr>
        <w:numId w:val="3"/>
      </w:numPr>
      <w:contextualSpacing/>
    </w:pPr>
    <w:rPr>
      <w:rFonts w:ascii="Arial" w:hAnsi="Arial" w:eastAsia="Arial"/>
    </w:rPr>
  </w:style>
  <w:style w:type="paragraph" w:styleId="ListNumber">
    <w:name w:val="List Number"/>
    <w:basedOn w:val="Normal"/>
    <w:uiPriority w:val="99"/>
    <w:unhideWhenUsed/>
    <w:rsid w:val="00326F90"/>
    <w:pPr>
      <w:numPr>
        <w:numId w:val="5"/>
      </w:numPr>
      <w:contextualSpacing/>
    </w:pPr>
    <w:rPr>
      <w:rFonts w:ascii="Arial" w:hAnsi="Arial" w:eastAsia="Arial"/>
    </w:rPr>
  </w:style>
  <w:style w:type="paragraph" w:styleId="ListNumber2">
    <w:name w:val="List Number 2"/>
    <w:basedOn w:val="Normal"/>
    <w:uiPriority w:val="99"/>
    <w:unhideWhenUsed/>
    <w:rsid w:val="0029639D"/>
    <w:pPr>
      <w:numPr>
        <w:numId w:val="6"/>
      </w:numPr>
      <w:contextualSpacing/>
    </w:pPr>
    <w:rPr>
      <w:rFonts w:ascii="Arial" w:hAnsi="Arial" w:eastAsia="Arial"/>
    </w:rPr>
  </w:style>
  <w:style w:type="paragraph" w:styleId="ListNumber3">
    <w:name w:val="List Number 3"/>
    <w:basedOn w:val="Normal"/>
    <w:uiPriority w:val="99"/>
    <w:unhideWhenUsed/>
    <w:rsid w:val="0029639D"/>
    <w:pPr>
      <w:numPr>
        <w:numId w:val="7"/>
      </w:numPr>
      <w:contextualSpacing/>
    </w:pPr>
    <w:rPr>
      <w:rFonts w:ascii="Arial" w:hAnsi="Arial" w:eastAsia="Arial"/>
    </w:rPr>
  </w:style>
  <w:style w:type="paragraph" w:styleId="ListContinue">
    <w:name w:val="List Continue"/>
    <w:basedOn w:val="Normal"/>
    <w:uiPriority w:val="99"/>
    <w:unhideWhenUsed/>
    <w:rsid w:val="0029639D"/>
    <w:pPr>
      <w:spacing w:after="120"/>
      <w:ind w:left="360"/>
      <w:contextualSpacing/>
    </w:pPr>
    <w:rPr>
      <w:rFonts w:ascii="Arial" w:hAnsi="Arial" w:eastAsia="Arial"/>
    </w:rPr>
  </w:style>
  <w:style w:type="paragraph" w:styleId="ListContinue2">
    <w:name w:val="List Continue 2"/>
    <w:basedOn w:val="Normal"/>
    <w:uiPriority w:val="99"/>
    <w:unhideWhenUsed/>
    <w:rsid w:val="0029639D"/>
    <w:pPr>
      <w:spacing w:after="120"/>
      <w:ind w:left="720"/>
      <w:contextualSpacing/>
    </w:pPr>
    <w:rPr>
      <w:rFonts w:ascii="Arial" w:hAnsi="Arial" w:eastAsia="Arial"/>
    </w:rPr>
  </w:style>
  <w:style w:type="paragraph" w:styleId="ListContinue3">
    <w:name w:val="List Continue 3"/>
    <w:basedOn w:val="Normal"/>
    <w:uiPriority w:val="99"/>
    <w:unhideWhenUsed/>
    <w:rsid w:val="0029639D"/>
    <w:pPr>
      <w:spacing w:after="120"/>
      <w:ind w:left="1080"/>
      <w:contextualSpacing/>
    </w:pPr>
    <w:rPr>
      <w:rFonts w:ascii="Arial" w:hAnsi="Arial" w:eastAsia="Arial"/>
    </w:r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Arial" w:hAnsi="Arial" w:eastAsia="Arial"/>
      <w:sz w:val="20"/>
      <w:szCs w:val="20"/>
    </w:rPr>
  </w:style>
  <w:style w:type="character" w:customStyle="1" w:styleId="MacroTextChar">
    <w:name w:val="Macro Text Char"/>
    <w:basedOn w:val="DefaultParagraphFont"/>
    <w:link w:val="MacroText"/>
    <w:uiPriority w:val="99"/>
    <w:rsid w:val="0029639D"/>
    <w:rPr>
      <w:rFonts w:ascii="Arial" w:hAnsi="Arial" w:eastAsia="Arial"/>
      <w:sz w:val="20"/>
      <w:szCs w:val="20"/>
    </w:rPr>
  </w:style>
  <w:style w:type="paragraph" w:styleId="Quote">
    <w:name w:val="Quote"/>
    <w:basedOn w:val="Normal"/>
    <w:next w:val="Normal"/>
    <w:link w:val="QuoteChar"/>
    <w:uiPriority w:val="29"/>
    <w:qFormat/>
    <w:rsid w:val="00FC693F"/>
    <w:rPr>
      <w:rFonts w:ascii="Arial" w:hAnsi="Arial" w:eastAsia="Arial"/>
      <w:i/>
      <w:iCs/>
      <w:color w:val="000000" w:themeColor="text1"/>
    </w:rPr>
  </w:style>
  <w:style w:type="character" w:customStyle="1" w:styleId="QuoteChar">
    <w:name w:val="Quote Char"/>
    <w:basedOn w:val="DefaultParagraphFont"/>
    <w:link w:val="Quote"/>
    <w:uiPriority w:val="29"/>
    <w:rsid w:val="00FC693F"/>
    <w:rPr>
      <w:rFonts w:ascii="Arial" w:hAnsi="Arial" w:eastAsia="Arial"/>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ascii="Arial" w:hAnsi="Arial" w:eastAsia="Arial"/>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ascii="Arial" w:hAnsi="Arial" w:eastAsia="Arial"/>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ascii="Arial" w:hAnsi="Arial" w:eastAsia="Arial"/>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ascii="Arial" w:hAnsi="Arial" w:eastAsia="Arial"/>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ascii="Arial" w:hAnsi="Arial" w:eastAsia="Arial"/>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ascii="Arial" w:hAnsi="Arial" w:eastAsia="Arial"/>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rFonts w:ascii="Arial" w:hAnsi="Arial" w:eastAsia="Arial"/>
      <w:b/>
      <w:bCs/>
      <w:color w:val="4F81BD" w:themeColor="accent1"/>
      <w:sz w:val="18"/>
      <w:szCs w:val="18"/>
    </w:rPr>
  </w:style>
  <w:style w:type="character" w:styleId="Strong">
    <w:name w:val="Strong"/>
    <w:basedOn w:val="DefaultParagraphFont"/>
    <w:uiPriority w:val="22"/>
    <w:qFormat/>
    <w:rsid w:val="00FC693F"/>
    <w:rPr>
      <w:rFonts w:ascii="Arial" w:hAnsi="Arial" w:eastAsia="Arial"/>
      <w:b/>
      <w:bCs/>
    </w:rPr>
  </w:style>
  <w:style w:type="character" w:styleId="Emphasis">
    <w:name w:val="Emphasis"/>
    <w:basedOn w:val="DefaultParagraphFont"/>
    <w:uiPriority w:val="20"/>
    <w:qFormat/>
    <w:rsid w:val="00FC693F"/>
    <w:rPr>
      <w:rFonts w:ascii="Arial" w:hAnsi="Arial" w:eastAsia="Arial"/>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rFonts w:ascii="Arial" w:hAnsi="Arial" w:eastAsia="Arial"/>
      <w:b/>
      <w:bCs/>
      <w:i/>
      <w:iCs/>
      <w:color w:val="4F81BD" w:themeColor="accent1"/>
    </w:rPr>
  </w:style>
  <w:style w:type="character" w:customStyle="1" w:styleId="IntenseQuoteChar">
    <w:name w:val="Intense Quote Char"/>
    <w:basedOn w:val="DefaultParagraphFont"/>
    <w:link w:val="IntenseQuote"/>
    <w:uiPriority w:val="30"/>
    <w:rsid w:val="00FC693F"/>
    <w:rPr>
      <w:rFonts w:ascii="Arial" w:hAnsi="Arial" w:eastAsia="Arial"/>
      <w:b/>
      <w:bCs/>
      <w:i/>
      <w:iCs/>
      <w:color w:val="4F81BD" w:themeColor="accent1"/>
    </w:rPr>
  </w:style>
  <w:style w:type="character" w:styleId="SubtleEmphasis">
    <w:name w:val="Subtle Emphasis"/>
    <w:basedOn w:val="DefaultParagraphFont"/>
    <w:uiPriority w:val="19"/>
    <w:qFormat/>
    <w:rsid w:val="00FC693F"/>
    <w:rPr>
      <w:rFonts w:ascii="Arial" w:hAnsi="Arial" w:eastAsia="Arial"/>
      <w:i/>
      <w:iCs/>
      <w:color w:val="808080" w:themeColor="text1" w:themeTint="7F"/>
    </w:rPr>
  </w:style>
  <w:style w:type="character" w:styleId="IntenseEmphasis">
    <w:name w:val="Intense Emphasis"/>
    <w:basedOn w:val="DefaultParagraphFont"/>
    <w:uiPriority w:val="21"/>
    <w:qFormat/>
    <w:rsid w:val="00FC693F"/>
    <w:rPr>
      <w:rFonts w:ascii="Arial" w:hAnsi="Arial" w:eastAsia="Arial"/>
      <w:b/>
      <w:bCs/>
      <w:i/>
      <w:iCs/>
      <w:color w:val="4F81BD" w:themeColor="accent1"/>
    </w:rPr>
  </w:style>
  <w:style w:type="character" w:styleId="SubtleReference">
    <w:name w:val="Subtle Reference"/>
    <w:basedOn w:val="DefaultParagraphFont"/>
    <w:uiPriority w:val="31"/>
    <w:qFormat/>
    <w:rsid w:val="00FC693F"/>
    <w:rPr>
      <w:rFonts w:ascii="Arial" w:hAnsi="Arial" w:eastAsia="Arial"/>
      <w:smallCaps/>
      <w:color w:val="C0504D" w:themeColor="accent2"/>
      <w:u w:val="single"/>
    </w:rPr>
  </w:style>
  <w:style w:type="character" w:styleId="IntenseReference">
    <w:name w:val="Intense Reference"/>
    <w:basedOn w:val="DefaultParagraphFont"/>
    <w:uiPriority w:val="32"/>
    <w:qFormat/>
    <w:rsid w:val="00FC693F"/>
    <w:rPr>
      <w:rFonts w:ascii="Arial" w:hAnsi="Arial" w:eastAsia="Arial"/>
      <w:b/>
      <w:bCs/>
      <w:smallCaps/>
      <w:color w:val="C0504D" w:themeColor="accent2"/>
      <w:spacing w:val="5"/>
      <w:u w:val="single"/>
    </w:rPr>
  </w:style>
  <w:style w:type="character" w:styleId="BookTitle">
    <w:name w:val="Book Title"/>
    <w:basedOn w:val="DefaultParagraphFont"/>
    <w:uiPriority w:val="33"/>
    <w:qFormat/>
    <w:rsid w:val="00FC693F"/>
    <w:rPr>
      <w:rFonts w:ascii="Arial" w:hAnsi="Arial" w:eastAsia="Arial"/>
      <w:b/>
      <w:bCs/>
      <w:smallCaps/>
      <w:spacing w:val="5"/>
    </w:rPr>
  </w:style>
  <w:style w:type="paragraph" w:styleId="TOCHeading">
    <w:name w:val="TOC Heading"/>
    <w:basedOn w:val="Heading1"/>
    <w:next w:val="Normal"/>
    <w:uiPriority w:val="39"/>
    <w:semiHidden/>
    <w:unhideWhenUsed/>
    <w:qFormat/>
    <w:rsid w:val="00FC693F"/>
    <w:pPr>
      <w:outlineLvl w:val="9"/>
    </w:pPr>
    <w:rPr>
      <w:rFonts w:ascii="Arial" w:hAnsi="Arial" w:eastAsia="Arial"/>
    </w:rPr>
  </w:style>
  <w:style w:type="table" w:styleId="TableGrid">
    <w:name w:val="Table Grid"/>
    <w:basedOn w:val="TableNormal"/>
    <w:uiPriority w:val="59"/>
    <w:rsid w:val="00FC693F"/>
    <w:pPr>
      <w:spacing w:after="0" w:line="240" w:lineRule="auto"/>
    </w:pPr>
    <w:rPr>
      <w:rFonts w:ascii="Arial" w:hAnsi="Arial" w:eastAsia="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rFonts w:ascii="Arial" w:hAnsi="Arial" w:eastAsia="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rFonts w:ascii="Arial" w:hAnsi="Arial" w:eastAsia="Arial"/>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rFonts w:ascii="Arial" w:hAnsi="Arial" w:eastAsia="Arial"/>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rFonts w:ascii="Arial" w:hAnsi="Arial" w:eastAsia="Arial"/>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rFonts w:ascii="Arial" w:hAnsi="Arial" w:eastAsia="Arial"/>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rFonts w:ascii="Arial" w:hAnsi="Arial" w:eastAsia="Arial"/>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rFonts w:ascii="Arial" w:hAnsi="Arial" w:eastAsia="Arial"/>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rPr>
      <w:rFonts w:ascii="Arial" w:hAnsi="Arial" w:eastAsia="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rPr>
      <w:rFonts w:ascii="Arial" w:hAnsi="Arial" w:eastAsia="Aria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rPr>
      <w:rFonts w:ascii="Arial" w:hAnsi="Arial" w:eastAsia="Aria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rPr>
      <w:rFonts w:ascii="Arial" w:hAnsi="Arial" w:eastAsia="Aria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rPr>
      <w:rFonts w:ascii="Arial" w:hAnsi="Arial" w:eastAsia="Aria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rPr>
      <w:rFonts w:ascii="Arial" w:hAnsi="Arial" w:eastAsia="Aria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rPr>
      <w:rFonts w:ascii="Arial" w:hAnsi="Arial" w:eastAsia="Aria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rPr>
      <w:rFonts w:ascii="Arial" w:hAnsi="Arial" w:eastAsia="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rPr>
      <w:rFonts w:ascii="Arial" w:hAnsi="Arial" w:eastAsia="Aria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rPr>
      <w:rFonts w:ascii="Arial" w:hAnsi="Arial" w:eastAsia="Aria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rPr>
      <w:rFonts w:ascii="Arial" w:hAnsi="Arial" w:eastAsia="Aria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rPr>
      <w:rFonts w:ascii="Arial" w:hAnsi="Arial" w:eastAsia="Aria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rPr>
      <w:rFonts w:ascii="Arial" w:hAnsi="Arial" w:eastAsia="Aria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rPr>
      <w:rFonts w:ascii="Arial" w:hAnsi="Arial" w:eastAsia="Aria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rPr>
      <w:rFonts w:ascii="Arial" w:hAnsi="Arial" w:eastAsia="Arial"/>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rPr>
      <w:rFonts w:ascii="Arial" w:hAnsi="Arial" w:eastAsia="Arial"/>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rPr>
      <w:rFonts w:ascii="Arial" w:hAnsi="Arial" w:eastAsia="Arial"/>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rPr>
      <w:rFonts w:ascii="Arial" w:hAnsi="Arial" w:eastAsia="Arial"/>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rPr>
      <w:rFonts w:ascii="Arial" w:hAnsi="Arial" w:eastAsia="Arial"/>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rPr>
      <w:rFonts w:ascii="Arial" w:hAnsi="Arial" w:eastAsia="Arial"/>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rPr>
      <w:rFonts w:ascii="Arial" w:hAnsi="Arial" w:eastAsia="Arial"/>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rPr>
      <w:rFonts w:ascii="Arial" w:hAnsi="Arial" w:eastAsia="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rPr>
      <w:rFonts w:ascii="Arial" w:hAnsi="Arial" w:eastAsia="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rPr>
      <w:rFonts w:ascii="Arial" w:hAnsi="Arial" w:eastAsia="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rPr>
      <w:rFonts w:ascii="Arial" w:hAnsi="Arial" w:eastAsia="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rPr>
      <w:rFonts w:ascii="Arial" w:hAnsi="Arial" w:eastAsia="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rPr>
      <w:rFonts w:ascii="Arial" w:hAnsi="Arial" w:eastAsia="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rPr>
      <w:rFonts w:ascii="Arial" w:hAnsi="Arial" w:eastAsia="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rFonts w:ascii="Arial" w:hAnsi="Arial" w:eastAsia="Arial"/>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rFonts w:ascii="Arial" w:hAnsi="Arial" w:eastAsia="Arial"/>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rFonts w:ascii="Arial" w:hAnsi="Arial" w:eastAsia="Arial"/>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rFonts w:ascii="Arial" w:hAnsi="Arial" w:eastAsia="Arial"/>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rFonts w:ascii="Arial" w:hAnsi="Arial" w:eastAsia="Arial"/>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rFonts w:ascii="Arial" w:hAnsi="Arial" w:eastAsia="Arial"/>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rFonts w:ascii="Arial" w:hAnsi="Arial" w:eastAsia="Arial"/>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ascii="Arial" w:hAnsi="Arial" w:eastAsia="Arial"/>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ascii="Arial" w:hAnsi="Arial" w:eastAsia="Arial"/>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ascii="Arial" w:hAnsi="Arial" w:eastAsia="Arial"/>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ascii="Arial" w:hAnsi="Arial" w:eastAsia="Arial"/>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ascii="Arial" w:hAnsi="Arial" w:eastAsia="Arial"/>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ascii="Arial" w:hAnsi="Arial" w:eastAsia="Arial"/>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ascii="Arial" w:hAnsi="Arial" w:eastAsia="Arial"/>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rPr>
      <w:rFonts w:ascii="Arial" w:hAnsi="Arial" w:eastAsia="Arial"/>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rPr>
      <w:rFonts w:ascii="Arial" w:hAnsi="Arial" w:eastAsia="Arial"/>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rPr>
      <w:rFonts w:ascii="Arial" w:hAnsi="Arial" w:eastAsia="Arial"/>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rPr>
      <w:rFonts w:ascii="Arial" w:hAnsi="Arial" w:eastAsia="Arial"/>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rPr>
      <w:rFonts w:ascii="Arial" w:hAnsi="Arial" w:eastAsia="Arial"/>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rPr>
      <w:rFonts w:ascii="Arial" w:hAnsi="Arial" w:eastAsia="Arial"/>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rPr>
      <w:rFonts w:ascii="Arial" w:hAnsi="Arial" w:eastAsia="Arial"/>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ascii="Arial" w:hAnsi="Arial" w:eastAsia="Arial"/>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ascii="Arial" w:hAnsi="Arial" w:eastAsia="Arial"/>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ascii="Arial" w:hAnsi="Arial" w:eastAsia="Arial"/>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ascii="Arial" w:hAnsi="Arial" w:eastAsia="Arial"/>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ascii="Arial" w:hAnsi="Arial" w:eastAsia="Arial"/>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ascii="Arial" w:hAnsi="Arial" w:eastAsia="Arial"/>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ascii="Arial" w:hAnsi="Arial" w:eastAsia="Arial"/>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rPr>
      <w:rFonts w:ascii="Arial" w:hAnsi="Arial" w:eastAsia="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rPr>
      <w:rFonts w:ascii="Arial" w:hAnsi="Arial" w:eastAsia="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rPr>
      <w:rFonts w:ascii="Arial" w:hAnsi="Arial" w:eastAsia="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rPr>
      <w:rFonts w:ascii="Arial" w:hAnsi="Arial" w:eastAsia="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rPr>
      <w:rFonts w:ascii="Arial" w:hAnsi="Arial" w:eastAsia="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rPr>
      <w:rFonts w:ascii="Arial" w:hAnsi="Arial" w:eastAsia="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rPr>
      <w:rFonts w:ascii="Arial" w:hAnsi="Arial" w:eastAsia="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rFonts w:ascii="Arial" w:hAnsi="Arial" w:eastAsia="Arial"/>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rFonts w:ascii="Arial" w:hAnsi="Arial" w:eastAsia="Arial"/>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rFonts w:ascii="Arial" w:hAnsi="Arial" w:eastAsia="Arial"/>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rFonts w:ascii="Arial" w:hAnsi="Arial" w:eastAsia="Arial"/>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rFonts w:ascii="Arial" w:hAnsi="Arial" w:eastAsia="Arial"/>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rFonts w:ascii="Arial" w:hAnsi="Arial" w:eastAsia="Arial"/>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rFonts w:ascii="Arial" w:hAnsi="Arial" w:eastAsia="Arial"/>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rFonts w:ascii="Arial" w:hAnsi="Arial" w:eastAsia="Arial"/>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rFonts w:ascii="Arial" w:hAnsi="Arial" w:eastAsia="Arial"/>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rFonts w:ascii="Arial" w:hAnsi="Arial" w:eastAsia="Arial"/>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rFonts w:ascii="Arial" w:hAnsi="Arial" w:eastAsia="Arial"/>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rFonts w:ascii="Arial" w:hAnsi="Arial" w:eastAsia="Arial"/>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rFonts w:ascii="Arial" w:hAnsi="Arial" w:eastAsia="Arial"/>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rFonts w:ascii="Arial" w:hAnsi="Arial" w:eastAsia="Arial"/>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rFonts w:ascii="Arial" w:hAnsi="Arial" w:eastAsia="Arial"/>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rFonts w:ascii="Arial" w:hAnsi="Arial" w:eastAsia="Arial"/>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rFonts w:ascii="Arial" w:hAnsi="Arial" w:eastAsia="Arial"/>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rFonts w:ascii="Arial" w:hAnsi="Arial" w:eastAsia="Arial"/>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rFonts w:ascii="Arial" w:hAnsi="Arial" w:eastAsia="Arial"/>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rFonts w:ascii="Arial" w:hAnsi="Arial" w:eastAsia="Arial"/>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rFonts w:ascii="Arial" w:hAnsi="Arial" w:eastAsia="Arial"/>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rFonts w:ascii="Arial" w:hAnsi="Arial" w:eastAsia="Arial"/>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rFonts w:ascii="Arial" w:hAnsi="Arial" w:eastAsia="Arial"/>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rFonts w:ascii="Arial" w:hAnsi="Arial" w:eastAsia="Arial"/>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rFonts w:ascii="Arial" w:hAnsi="Arial" w:eastAsia="Arial"/>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rFonts w:ascii="Arial" w:hAnsi="Arial" w:eastAsia="Arial"/>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rFonts w:ascii="Arial" w:hAnsi="Arial" w:eastAsia="Arial"/>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rFonts w:ascii="Arial" w:hAnsi="Arial" w:eastAsia="Arial"/>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